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rsidTr="007E76AF">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547206">
            <w:pPr>
              <w:suppressLineNumbers/>
              <w:jc w:val="right"/>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w:t>
            </w:r>
          </w:p>
        </w:tc>
      </w:tr>
      <w:tr w:rsidR="0094424E" w:rsidTr="007E76AF">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שני כ"ץ</w:t>
            </w:r>
          </w:p>
          <w:p w:rsidR="0094424E" w:rsidRDefault="0094424E" w:rsidP="00D44968">
            <w:pPr>
              <w:suppressLineNumbers/>
              <w:rPr>
                <w:rFonts w:ascii="Arial" w:hAnsi="Arial" w:cs="FrankRuehl"/>
                <w:sz w:val="28"/>
                <w:szCs w:val="28"/>
                <w:highlight w:val="yellow"/>
              </w:rPr>
            </w:pPr>
          </w:p>
        </w:tc>
      </w:tr>
      <w:tr w:rsidR="0094424E" w:rsidTr="007E76AF">
        <w:trPr>
          <w:jc w:val="center"/>
        </w:trPr>
        <w:tc>
          <w:tcPr>
            <w:tcW w:w="3249" w:type="dxa"/>
            <w:gridSpan w:val="2"/>
          </w:tcPr>
          <w:p w:rsidR="0094424E" w:rsidRDefault="0094424E" w:rsidP="00D44968">
            <w:pPr>
              <w:suppressLineNumbers/>
              <w:rPr>
                <w:rFonts w:ascii="Arial" w:hAnsi="Arial"/>
                <w:b/>
                <w:bCs/>
                <w:noProof w:val="0"/>
                <w:sz w:val="26"/>
                <w:szCs w:val="26"/>
              </w:rPr>
            </w:pPr>
          </w:p>
          <w:p w:rsidR="00B85B04" w:rsidRDefault="007E76AF">
            <w:pPr>
              <w:suppressLineNumbers/>
              <w:rPr>
                <w:rFonts w:ascii="Arial" w:hAnsi="Arial"/>
                <w:b/>
                <w:bCs/>
                <w:noProof w:val="0"/>
                <w:sz w:val="26"/>
                <w:szCs w:val="26"/>
                <w:rtl/>
              </w:rPr>
            </w:pPr>
            <w:r>
              <w:rPr>
                <w:rFonts w:ascii="Arial" w:hAnsi="Arial" w:hint="cs"/>
                <w:b/>
                <w:bCs/>
                <w:noProof w:val="0"/>
                <w:sz w:val="26"/>
                <w:szCs w:val="26"/>
                <w:rtl/>
              </w:rPr>
              <w:t>מבקשים:</w:t>
            </w:r>
          </w:p>
        </w:tc>
        <w:tc>
          <w:tcPr>
            <w:tcW w:w="5571" w:type="dxa"/>
            <w:gridSpan w:val="2"/>
          </w:tcPr>
          <w:p w:rsidR="0094424E" w:rsidRDefault="0094424E" w:rsidP="00D44968">
            <w:pPr>
              <w:suppressLineNumbers/>
              <w:rPr>
                <w:rFonts w:ascii="Arial" w:hAnsi="Arial"/>
                <w:b/>
                <w:bCs/>
                <w:noProof w:val="0"/>
                <w:sz w:val="26"/>
                <w:szCs w:val="26"/>
                <w:rtl/>
              </w:rPr>
            </w:pPr>
          </w:p>
          <w:p w:rsidR="007E76AF" w:rsidRPr="00E54CD9" w:rsidRDefault="007E76AF" w:rsidP="00C06970">
            <w:pPr>
              <w:suppressLineNumbers/>
              <w:rPr>
                <w:rFonts w:ascii="Arial" w:hAnsi="Arial"/>
                <w:b/>
                <w:bCs/>
                <w:noProof w:val="0"/>
                <w:sz w:val="26"/>
                <w:szCs w:val="26"/>
                <w:rtl/>
              </w:rPr>
            </w:pPr>
            <w:r>
              <w:rPr>
                <w:rFonts w:ascii="Arial" w:hAnsi="Arial" w:hint="cs"/>
                <w:b/>
                <w:bCs/>
                <w:noProof w:val="0"/>
                <w:sz w:val="26"/>
                <w:szCs w:val="26"/>
                <w:rtl/>
              </w:rPr>
              <w:t xml:space="preserve">1. </w:t>
            </w:r>
            <w:r>
              <w:rPr>
                <w:rFonts w:ascii="Arial" w:hAnsi="Arial"/>
                <w:b/>
                <w:bCs/>
                <w:noProof w:val="0"/>
                <w:sz w:val="26"/>
                <w:szCs w:val="26"/>
                <w:rtl/>
              </w:rPr>
              <w:t>מ</w:t>
            </w:r>
            <w:r w:rsidR="00C06970">
              <w:rPr>
                <w:rFonts w:ascii="Arial" w:hAnsi="Arial" w:hint="cs"/>
                <w:b/>
                <w:bCs/>
                <w:noProof w:val="0"/>
                <w:sz w:val="26"/>
                <w:szCs w:val="26"/>
                <w:rtl/>
              </w:rPr>
              <w:t>.</w:t>
            </w:r>
            <w:r>
              <w:rPr>
                <w:rFonts w:ascii="Arial" w:hAnsi="Arial"/>
                <w:b/>
                <w:bCs/>
                <w:noProof w:val="0"/>
                <w:sz w:val="26"/>
                <w:szCs w:val="26"/>
                <w:rtl/>
              </w:rPr>
              <w:t>כ</w:t>
            </w:r>
            <w:r w:rsidR="00C06970">
              <w:rPr>
                <w:rFonts w:hint="cs"/>
                <w:rtl/>
              </w:rPr>
              <w:t xml:space="preserve"> </w:t>
            </w:r>
          </w:p>
          <w:p w:rsidR="00C06970" w:rsidRDefault="007E76AF" w:rsidP="00C06970">
            <w:pPr>
              <w:suppressLineNumbers/>
              <w:rPr>
                <w:b/>
                <w:bCs/>
                <w:noProof w:val="0"/>
                <w:sz w:val="26"/>
                <w:szCs w:val="26"/>
                <w:rtl/>
              </w:rPr>
            </w:pPr>
            <w:r>
              <w:rPr>
                <w:rFonts w:ascii="Arial" w:hAnsi="Arial"/>
                <w:b/>
                <w:bCs/>
                <w:noProof w:val="0"/>
                <w:sz w:val="26"/>
                <w:szCs w:val="26"/>
                <w:rtl/>
              </w:rPr>
              <w:t>2.</w:t>
            </w:r>
            <w:r>
              <w:rPr>
                <w:rFonts w:ascii="Arial" w:hAnsi="Arial" w:hint="cs"/>
                <w:b/>
                <w:bCs/>
                <w:noProof w:val="0"/>
                <w:sz w:val="26"/>
                <w:szCs w:val="26"/>
                <w:rtl/>
              </w:rPr>
              <w:t xml:space="preserve"> </w:t>
            </w:r>
            <w:r>
              <w:rPr>
                <w:rFonts w:ascii="Arial" w:hAnsi="Arial"/>
                <w:b/>
                <w:bCs/>
                <w:noProof w:val="0"/>
                <w:sz w:val="26"/>
                <w:szCs w:val="26"/>
                <w:rtl/>
              </w:rPr>
              <w:t>ר</w:t>
            </w:r>
            <w:r w:rsidR="00C06970">
              <w:rPr>
                <w:rFonts w:ascii="Arial" w:hAnsi="Arial" w:hint="cs"/>
                <w:b/>
                <w:bCs/>
                <w:noProof w:val="0"/>
                <w:sz w:val="26"/>
                <w:szCs w:val="26"/>
                <w:rtl/>
              </w:rPr>
              <w:t>.</w:t>
            </w:r>
            <w:r>
              <w:rPr>
                <w:rFonts w:ascii="Arial" w:hAnsi="Arial"/>
                <w:b/>
                <w:bCs/>
                <w:noProof w:val="0"/>
                <w:sz w:val="26"/>
                <w:szCs w:val="26"/>
                <w:rtl/>
              </w:rPr>
              <w:t>כ</w:t>
            </w:r>
          </w:p>
          <w:p w:rsidR="00BC7F64" w:rsidRDefault="008C5017" w:rsidP="00C06970">
            <w:pPr>
              <w:suppressLineNumbers/>
              <w:rPr>
                <w:b/>
                <w:bCs/>
                <w:noProof w:val="0"/>
                <w:sz w:val="26"/>
                <w:szCs w:val="26"/>
              </w:rPr>
            </w:pPr>
            <w:r>
              <w:rPr>
                <w:rFonts w:hint="cs"/>
                <w:b/>
                <w:bCs/>
                <w:noProof w:val="0"/>
                <w:sz w:val="26"/>
                <w:szCs w:val="26"/>
                <w:rtl/>
              </w:rPr>
              <w:t xml:space="preserve">   </w:t>
            </w:r>
            <w:r w:rsidR="00BC7F64">
              <w:rPr>
                <w:rFonts w:hint="cs"/>
                <w:b/>
                <w:bCs/>
                <w:noProof w:val="0"/>
                <w:sz w:val="26"/>
                <w:szCs w:val="26"/>
                <w:rtl/>
              </w:rPr>
              <w:t>ע"י ב"כ עוה"ד אבו טאהא פוזי</w:t>
            </w:r>
          </w:p>
        </w:tc>
      </w:tr>
      <w:tr w:rsidR="0094424E" w:rsidTr="007E76AF">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7E76AF">
        <w:trPr>
          <w:jc w:val="center"/>
        </w:trPr>
        <w:tc>
          <w:tcPr>
            <w:tcW w:w="3249" w:type="dxa"/>
            <w:gridSpan w:val="2"/>
          </w:tcPr>
          <w:p w:rsidR="007E76AF" w:rsidRDefault="007E76AF" w:rsidP="007E76AF">
            <w:pPr>
              <w:suppressLineNumbers/>
              <w:rPr>
                <w:rFonts w:ascii="Arial" w:hAnsi="Arial"/>
                <w:b/>
                <w:bCs/>
                <w:noProof w:val="0"/>
                <w:sz w:val="26"/>
                <w:szCs w:val="26"/>
              </w:rPr>
            </w:pPr>
            <w:r>
              <w:rPr>
                <w:rFonts w:ascii="Arial" w:hAnsi="Arial" w:hint="cs"/>
                <w:b/>
                <w:bCs/>
                <w:noProof w:val="0"/>
                <w:sz w:val="26"/>
                <w:szCs w:val="26"/>
                <w:rtl/>
              </w:rPr>
              <w:t>משיבה:</w:t>
            </w:r>
          </w:p>
        </w:tc>
        <w:tc>
          <w:tcPr>
            <w:tcW w:w="5571" w:type="dxa"/>
            <w:gridSpan w:val="2"/>
          </w:tcPr>
          <w:p w:rsidR="00CF6BB7" w:rsidRDefault="007E76AF" w:rsidP="00D44968">
            <w:pPr>
              <w:suppressLineNumbers/>
              <w:rPr>
                <w:b/>
                <w:bCs/>
                <w:noProof w:val="0"/>
                <w:sz w:val="26"/>
                <w:szCs w:val="26"/>
                <w:rtl/>
              </w:rPr>
            </w:pPr>
            <w:r>
              <w:rPr>
                <w:rFonts w:hint="cs"/>
                <w:b/>
                <w:bCs/>
                <w:noProof w:val="0"/>
                <w:sz w:val="26"/>
                <w:szCs w:val="26"/>
                <w:rtl/>
              </w:rPr>
              <w:t>היועצת המשפטית לממשלה</w:t>
            </w:r>
          </w:p>
          <w:p w:rsidR="007E76AF" w:rsidRDefault="007E76AF" w:rsidP="00D44968">
            <w:pPr>
              <w:suppressLineNumbers/>
              <w:rPr>
                <w:b/>
                <w:bCs/>
                <w:noProof w:val="0"/>
                <w:sz w:val="26"/>
                <w:szCs w:val="26"/>
                <w:rtl/>
              </w:rPr>
            </w:pPr>
            <w:r>
              <w:rPr>
                <w:rFonts w:hint="cs"/>
                <w:b/>
                <w:bCs/>
                <w:noProof w:val="0"/>
                <w:sz w:val="26"/>
                <w:szCs w:val="26"/>
                <w:rtl/>
              </w:rPr>
              <w:t>על ידי ב"כ מהממונה לקשרי משפחה</w:t>
            </w:r>
          </w:p>
          <w:p w:rsidR="007E76AF" w:rsidRPr="00E54CD9" w:rsidRDefault="0094424E" w:rsidP="007E76AF">
            <w:pPr>
              <w:suppressLineNumbers/>
              <w:rPr>
                <w:rFonts w:ascii="Arial" w:hAnsi="Arial"/>
                <w:b/>
                <w:bCs/>
                <w:noProof w:val="0"/>
                <w:sz w:val="26"/>
                <w:szCs w:val="26"/>
                <w:rtl/>
              </w:rPr>
            </w:pPr>
            <w:r>
              <w:rPr>
                <w:rFonts w:ascii="Arial" w:hAnsi="Arial" w:hint="cs"/>
                <w:b/>
                <w:bCs/>
                <w:noProof w:val="0"/>
                <w:sz w:val="26"/>
                <w:szCs w:val="26"/>
                <w:rtl/>
              </w:rPr>
              <w:t xml:space="preserve"> </w:t>
            </w:r>
          </w:p>
        </w:tc>
      </w:tr>
      <w:tr w:rsidR="007E76AF" w:rsidTr="007E76AF">
        <w:trPr>
          <w:jc w:val="center"/>
        </w:trPr>
        <w:tc>
          <w:tcPr>
            <w:tcW w:w="3249" w:type="dxa"/>
            <w:gridSpan w:val="2"/>
          </w:tcPr>
          <w:p w:rsidR="007E76AF" w:rsidRDefault="007E76AF" w:rsidP="00D44968">
            <w:pPr>
              <w:suppressLineNumbers/>
              <w:rPr>
                <w:rFonts w:ascii="Arial" w:hAnsi="Arial"/>
                <w:b/>
                <w:bCs/>
                <w:noProof w:val="0"/>
                <w:sz w:val="26"/>
                <w:szCs w:val="26"/>
                <w:rtl/>
              </w:rPr>
            </w:pPr>
            <w:r>
              <w:rPr>
                <w:rFonts w:ascii="Arial" w:hAnsi="Arial" w:hint="cs"/>
                <w:b/>
                <w:bCs/>
                <w:noProof w:val="0"/>
                <w:sz w:val="26"/>
                <w:szCs w:val="26"/>
                <w:rtl/>
              </w:rPr>
              <w:t xml:space="preserve">בעניין הקטינים:                            </w:t>
            </w:r>
          </w:p>
        </w:tc>
        <w:tc>
          <w:tcPr>
            <w:tcW w:w="5571" w:type="dxa"/>
            <w:gridSpan w:val="2"/>
          </w:tcPr>
          <w:p w:rsidR="007E76AF" w:rsidRDefault="007E76AF" w:rsidP="00C06970">
            <w:pPr>
              <w:suppressLineNumbers/>
              <w:rPr>
                <w:b/>
                <w:bCs/>
                <w:noProof w:val="0"/>
                <w:sz w:val="26"/>
                <w:szCs w:val="26"/>
                <w:rtl/>
              </w:rPr>
            </w:pPr>
            <w:r>
              <w:rPr>
                <w:rFonts w:hint="cs"/>
                <w:b/>
                <w:bCs/>
                <w:noProof w:val="0"/>
                <w:sz w:val="26"/>
                <w:szCs w:val="26"/>
                <w:rtl/>
              </w:rPr>
              <w:t>1. י</w:t>
            </w:r>
            <w:r w:rsidR="00C06970">
              <w:rPr>
                <w:rFonts w:hint="cs"/>
                <w:b/>
                <w:bCs/>
                <w:noProof w:val="0"/>
                <w:sz w:val="26"/>
                <w:szCs w:val="26"/>
                <w:rtl/>
              </w:rPr>
              <w:t>.</w:t>
            </w:r>
            <w:r>
              <w:rPr>
                <w:rFonts w:hint="cs"/>
                <w:b/>
                <w:bCs/>
                <w:noProof w:val="0"/>
                <w:sz w:val="26"/>
                <w:szCs w:val="26"/>
                <w:rtl/>
              </w:rPr>
              <w:t>כ, יליד</w:t>
            </w:r>
            <w:r w:rsidR="00C06970">
              <w:rPr>
                <w:rFonts w:hint="cs"/>
                <w:b/>
                <w:bCs/>
                <w:noProof w:val="0"/>
                <w:sz w:val="26"/>
                <w:szCs w:val="26"/>
                <w:rtl/>
              </w:rPr>
              <w:t xml:space="preserve"> </w:t>
            </w:r>
            <w:r>
              <w:rPr>
                <w:rFonts w:hint="cs"/>
                <w:b/>
                <w:bCs/>
                <w:noProof w:val="0"/>
                <w:sz w:val="26"/>
                <w:szCs w:val="26"/>
                <w:rtl/>
              </w:rPr>
              <w:t>2017</w:t>
            </w:r>
          </w:p>
          <w:p w:rsidR="007E76AF" w:rsidRDefault="007E76AF" w:rsidP="00C06970">
            <w:pPr>
              <w:suppressLineNumbers/>
              <w:rPr>
                <w:b/>
                <w:bCs/>
                <w:noProof w:val="0"/>
                <w:sz w:val="26"/>
                <w:szCs w:val="26"/>
                <w:rtl/>
              </w:rPr>
            </w:pPr>
            <w:r>
              <w:rPr>
                <w:rFonts w:hint="cs"/>
                <w:b/>
                <w:bCs/>
                <w:noProof w:val="0"/>
                <w:sz w:val="26"/>
                <w:szCs w:val="26"/>
                <w:rtl/>
              </w:rPr>
              <w:t>2. א</w:t>
            </w:r>
            <w:r w:rsidR="00C06970">
              <w:rPr>
                <w:rFonts w:hint="cs"/>
                <w:b/>
                <w:bCs/>
                <w:noProof w:val="0"/>
                <w:sz w:val="26"/>
                <w:szCs w:val="26"/>
                <w:rtl/>
              </w:rPr>
              <w:t>.</w:t>
            </w:r>
            <w:r>
              <w:rPr>
                <w:rFonts w:hint="cs"/>
                <w:b/>
                <w:bCs/>
                <w:noProof w:val="0"/>
                <w:sz w:val="26"/>
                <w:szCs w:val="26"/>
                <w:rtl/>
              </w:rPr>
              <w:t xml:space="preserve">כ, יליד </w:t>
            </w:r>
            <w:r w:rsidR="00C06970">
              <w:rPr>
                <w:rFonts w:hint="cs"/>
                <w:b/>
                <w:bCs/>
                <w:noProof w:val="0"/>
                <w:sz w:val="26"/>
                <w:szCs w:val="26"/>
                <w:rtl/>
              </w:rPr>
              <w:t>2023</w:t>
            </w:r>
          </w:p>
        </w:tc>
      </w:tr>
      <w:tr w:rsidR="00694556" w:rsidRPr="00DE1E7D" w:rsidTr="007E76AF">
        <w:trPr>
          <w:jc w:val="center"/>
        </w:trPr>
        <w:tc>
          <w:tcPr>
            <w:tcW w:w="8820" w:type="dxa"/>
            <w:gridSpan w:val="4"/>
          </w:tcPr>
          <w:p w:rsidR="007E76AF" w:rsidRDefault="007E76AF">
            <w:pPr>
              <w:bidi w:val="0"/>
              <w:jc w:val="center"/>
              <w:rPr>
                <w:rFonts w:ascii="Arial" w:hAnsi="Arial"/>
                <w:b/>
                <w:bCs/>
                <w:noProof w:val="0"/>
                <w:sz w:val="28"/>
                <w:szCs w:val="28"/>
                <w:u w:val="single"/>
              </w:rPr>
            </w:pPr>
          </w:p>
          <w:p w:rsidR="007E76AF" w:rsidRDefault="007E76AF" w:rsidP="007E76AF">
            <w:pPr>
              <w:bidi w:val="0"/>
              <w:jc w:val="center"/>
              <w:rPr>
                <w:rFonts w:ascii="Arial" w:hAnsi="Arial"/>
                <w:b/>
                <w:bCs/>
                <w:noProof w:val="0"/>
                <w:sz w:val="28"/>
                <w:szCs w:val="28"/>
                <w:u w:val="single"/>
                <w:rtl/>
              </w:rPr>
            </w:pPr>
          </w:p>
          <w:p w:rsidR="00D44968" w:rsidRPr="00D44968" w:rsidRDefault="00180519" w:rsidP="007E76AF">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721B3F" w:rsidRDefault="007E76AF" w:rsidP="00721B3F">
      <w:pPr>
        <w:spacing w:before="240" w:after="240" w:line="360" w:lineRule="auto"/>
        <w:jc w:val="both"/>
        <w:rPr>
          <w:rFonts w:ascii="David" w:hAnsi="David"/>
          <w:b/>
          <w:bCs/>
          <w:rtl/>
        </w:rPr>
      </w:pPr>
      <w:bookmarkStart w:id="1" w:name="NGCSBookmark"/>
      <w:bookmarkEnd w:id="1"/>
      <w:r>
        <w:rPr>
          <w:rFonts w:ascii="David" w:hAnsi="David"/>
          <w:b/>
          <w:bCs/>
          <w:rtl/>
        </w:rPr>
        <w:t>על המדוכה שאלת אופן זיהוי</w:t>
      </w:r>
      <w:r w:rsidR="00721B3F">
        <w:rPr>
          <w:rFonts w:ascii="David" w:hAnsi="David" w:hint="cs"/>
          <w:b/>
          <w:bCs/>
          <w:rtl/>
        </w:rPr>
        <w:t>ים של</w:t>
      </w:r>
      <w:r>
        <w:rPr>
          <w:rFonts w:ascii="David" w:hAnsi="David"/>
          <w:b/>
          <w:bCs/>
          <w:rtl/>
        </w:rPr>
        <w:t xml:space="preserve"> הקטינים </w:t>
      </w:r>
      <w:r w:rsidR="00590D76">
        <w:rPr>
          <w:rFonts w:ascii="David" w:hAnsi="David" w:hint="cs"/>
          <w:b/>
          <w:bCs/>
          <w:rtl/>
        </w:rPr>
        <w:t>ב</w:t>
      </w:r>
      <w:r w:rsidR="00721B3F">
        <w:rPr>
          <w:rFonts w:ascii="David" w:hAnsi="David" w:hint="cs"/>
          <w:b/>
          <w:bCs/>
          <w:rtl/>
        </w:rPr>
        <w:t xml:space="preserve">בדיקה הגנטית לצורך הוכחת תביעת האבהות. </w:t>
      </w:r>
    </w:p>
    <w:p w:rsidR="007E76AF" w:rsidRDefault="007E76A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 xml:space="preserve">עניינו בתביעה למתן פסק דין הצהרתי בעניין אבהותו של </w:t>
      </w:r>
      <w:r>
        <w:rPr>
          <w:rFonts w:ascii="David" w:hAnsi="David" w:cs="David" w:hint="cs"/>
          <w:sz w:val="24"/>
          <w:szCs w:val="24"/>
          <w:rtl/>
        </w:rPr>
        <w:t>המבקש</w:t>
      </w:r>
      <w:r>
        <w:rPr>
          <w:rFonts w:ascii="David" w:hAnsi="David" w:cs="David"/>
          <w:sz w:val="24"/>
          <w:szCs w:val="24"/>
          <w:rtl/>
        </w:rPr>
        <w:t xml:space="preserve"> 1 על הקטינים שפרטיהם בכותרת, בני כ-8 שנים וכשנה וחצי, לצורך הסדרת רישומם במרשם האוכלוסין.</w:t>
      </w:r>
    </w:p>
    <w:p w:rsidR="007E76AF" w:rsidRDefault="007E76AF" w:rsidP="008C5017">
      <w:pPr>
        <w:pStyle w:val="ad"/>
        <w:spacing w:before="240" w:after="240" w:line="360" w:lineRule="auto"/>
        <w:ind w:left="567" w:hanging="567"/>
        <w:jc w:val="both"/>
        <w:rPr>
          <w:rFonts w:ascii="David" w:hAnsi="David" w:cs="David"/>
          <w:sz w:val="24"/>
          <w:szCs w:val="24"/>
          <w:rtl/>
        </w:rPr>
      </w:pPr>
    </w:p>
    <w:p w:rsidR="007E76AF" w:rsidRDefault="007E76A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hint="cs"/>
          <w:sz w:val="24"/>
          <w:szCs w:val="24"/>
          <w:rtl/>
        </w:rPr>
        <w:t>המבקשת</w:t>
      </w:r>
      <w:r w:rsidR="00721B3F">
        <w:rPr>
          <w:rFonts w:ascii="David" w:hAnsi="David" w:cs="David"/>
          <w:sz w:val="24"/>
          <w:szCs w:val="24"/>
          <w:rtl/>
        </w:rPr>
        <w:t xml:space="preserve"> 2</w:t>
      </w:r>
      <w:r w:rsidR="00721B3F">
        <w:rPr>
          <w:rFonts w:ascii="David" w:hAnsi="David" w:cs="David" w:hint="cs"/>
          <w:sz w:val="24"/>
          <w:szCs w:val="24"/>
          <w:rtl/>
        </w:rPr>
        <w:t>,</w:t>
      </w:r>
      <w:r>
        <w:rPr>
          <w:rFonts w:ascii="David" w:hAnsi="David" w:cs="David"/>
          <w:sz w:val="24"/>
          <w:szCs w:val="24"/>
          <w:rtl/>
        </w:rPr>
        <w:t xml:space="preserve"> אם הקטינים, תושבת הרשות הפלסטינית</w:t>
      </w:r>
      <w:r w:rsidR="00721B3F">
        <w:rPr>
          <w:rFonts w:ascii="David" w:hAnsi="David" w:cs="David" w:hint="cs"/>
          <w:sz w:val="24"/>
          <w:szCs w:val="24"/>
          <w:rtl/>
        </w:rPr>
        <w:t xml:space="preserve"> ואינה אזרחית ישראלית</w:t>
      </w:r>
      <w:r>
        <w:rPr>
          <w:rFonts w:ascii="David" w:hAnsi="David" w:cs="David"/>
          <w:sz w:val="24"/>
          <w:szCs w:val="24"/>
          <w:rtl/>
        </w:rPr>
        <w:t>.</w:t>
      </w:r>
    </w:p>
    <w:p w:rsidR="007E76AF" w:rsidRPr="007E76AF" w:rsidRDefault="007E76AF" w:rsidP="008C5017">
      <w:pPr>
        <w:pStyle w:val="ad"/>
        <w:ind w:left="567" w:hanging="567"/>
        <w:rPr>
          <w:rFonts w:ascii="David" w:hAnsi="David" w:cs="David"/>
          <w:sz w:val="24"/>
          <w:szCs w:val="24"/>
          <w:rtl/>
        </w:rPr>
      </w:pPr>
    </w:p>
    <w:p w:rsidR="007E76AF" w:rsidRDefault="00721B3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בכתב התביעה</w:t>
      </w:r>
      <w:r w:rsidR="007E76AF">
        <w:rPr>
          <w:rFonts w:ascii="David" w:hAnsi="David" w:cs="David"/>
          <w:sz w:val="24"/>
          <w:szCs w:val="24"/>
          <w:rtl/>
        </w:rPr>
        <w:t xml:space="preserve"> הסכימו </w:t>
      </w:r>
      <w:r w:rsidR="007E76AF">
        <w:rPr>
          <w:rFonts w:ascii="David" w:hAnsi="David" w:cs="David" w:hint="cs"/>
          <w:sz w:val="24"/>
          <w:szCs w:val="24"/>
          <w:rtl/>
        </w:rPr>
        <w:t>המבקשים</w:t>
      </w:r>
      <w:r w:rsidR="008C2128">
        <w:rPr>
          <w:rFonts w:ascii="David" w:hAnsi="David" w:cs="David" w:hint="cs"/>
          <w:sz w:val="24"/>
          <w:szCs w:val="24"/>
          <w:rtl/>
        </w:rPr>
        <w:t>,</w:t>
      </w:r>
      <w:r w:rsidR="007E76AF">
        <w:rPr>
          <w:rFonts w:ascii="David" w:hAnsi="David" w:cs="David"/>
          <w:sz w:val="24"/>
          <w:szCs w:val="24"/>
          <w:rtl/>
        </w:rPr>
        <w:t xml:space="preserve"> כי תערך בדיקה </w:t>
      </w:r>
      <w:r w:rsidR="00506F6D">
        <w:rPr>
          <w:rFonts w:ascii="David" w:hAnsi="David" w:cs="David" w:hint="cs"/>
          <w:sz w:val="24"/>
          <w:szCs w:val="24"/>
          <w:rtl/>
        </w:rPr>
        <w:t>גנטית</w:t>
      </w:r>
      <w:r w:rsidR="007E76AF">
        <w:rPr>
          <w:rFonts w:ascii="David" w:hAnsi="David" w:cs="David"/>
          <w:sz w:val="24"/>
          <w:szCs w:val="24"/>
          <w:rtl/>
        </w:rPr>
        <w:t xml:space="preserve"> לצורך בירור שאלת האבהות</w:t>
      </w:r>
      <w:r w:rsidR="00506F6D">
        <w:rPr>
          <w:rFonts w:ascii="David" w:hAnsi="David" w:cs="David" w:hint="cs"/>
          <w:sz w:val="24"/>
          <w:szCs w:val="24"/>
          <w:rtl/>
        </w:rPr>
        <w:t xml:space="preserve"> הנטענת</w:t>
      </w:r>
      <w:r w:rsidR="007E76AF">
        <w:rPr>
          <w:rFonts w:ascii="David" w:hAnsi="David" w:cs="David"/>
          <w:sz w:val="24"/>
          <w:szCs w:val="24"/>
          <w:rtl/>
        </w:rPr>
        <w:t xml:space="preserve">. </w:t>
      </w:r>
    </w:p>
    <w:p w:rsidR="007E76AF" w:rsidRPr="007E76AF" w:rsidRDefault="007E76AF" w:rsidP="008C5017">
      <w:pPr>
        <w:pStyle w:val="ad"/>
        <w:ind w:left="567" w:hanging="567"/>
        <w:rPr>
          <w:rFonts w:ascii="David" w:hAnsi="David" w:cs="David"/>
          <w:sz w:val="24"/>
          <w:szCs w:val="24"/>
          <w:rtl/>
        </w:rPr>
      </w:pPr>
    </w:p>
    <w:p w:rsidR="007E76AF" w:rsidRDefault="007E76A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hint="cs"/>
          <w:sz w:val="24"/>
          <w:szCs w:val="24"/>
          <w:rtl/>
        </w:rPr>
        <w:t>המבקשים</w:t>
      </w:r>
      <w:r>
        <w:rPr>
          <w:rFonts w:ascii="David" w:hAnsi="David" w:cs="David"/>
          <w:sz w:val="24"/>
          <w:szCs w:val="24"/>
          <w:rtl/>
        </w:rPr>
        <w:t xml:space="preserve"> צרפו לכתב </w:t>
      </w:r>
      <w:r w:rsidR="00506F6D">
        <w:rPr>
          <w:rFonts w:ascii="David" w:hAnsi="David" w:cs="David" w:hint="cs"/>
          <w:sz w:val="24"/>
          <w:szCs w:val="24"/>
          <w:rtl/>
        </w:rPr>
        <w:t>תביעתם</w:t>
      </w:r>
      <w:r>
        <w:rPr>
          <w:rFonts w:ascii="David" w:hAnsi="David" w:cs="David"/>
          <w:sz w:val="24"/>
          <w:szCs w:val="24"/>
          <w:rtl/>
        </w:rPr>
        <w:t>, בין היתר, הודעות לידת חי בעניינם של הקטינים.</w:t>
      </w:r>
    </w:p>
    <w:p w:rsidR="007E76AF" w:rsidRPr="007E76AF" w:rsidRDefault="007E76AF" w:rsidP="008C5017">
      <w:pPr>
        <w:pStyle w:val="ad"/>
        <w:ind w:left="567" w:hanging="567"/>
        <w:rPr>
          <w:rFonts w:ascii="David" w:hAnsi="David" w:cs="David"/>
          <w:sz w:val="24"/>
          <w:szCs w:val="24"/>
          <w:rtl/>
        </w:rPr>
      </w:pPr>
    </w:p>
    <w:p w:rsidR="00605453" w:rsidRDefault="007E76AF" w:rsidP="00605453">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lastRenderedPageBreak/>
        <w:t>ב"כ היועצת המשפטית לממשלה (להלן: "</w:t>
      </w:r>
      <w:r>
        <w:rPr>
          <w:rFonts w:ascii="David" w:hAnsi="David" w:cs="David"/>
          <w:b/>
          <w:bCs/>
          <w:sz w:val="24"/>
          <w:szCs w:val="24"/>
          <w:rtl/>
        </w:rPr>
        <w:t>היועמ"ש</w:t>
      </w:r>
      <w:r>
        <w:rPr>
          <w:rFonts w:ascii="David" w:hAnsi="David" w:cs="David"/>
          <w:sz w:val="24"/>
          <w:szCs w:val="24"/>
          <w:rtl/>
        </w:rPr>
        <w:t>")</w:t>
      </w:r>
      <w:r w:rsidR="00605453">
        <w:rPr>
          <w:rFonts w:ascii="David" w:hAnsi="David" w:cs="David" w:hint="cs"/>
          <w:sz w:val="24"/>
          <w:szCs w:val="24"/>
          <w:rtl/>
        </w:rPr>
        <w:t xml:space="preserve"> הגישה תגובתה לתובענה ובה הסכימה לביצוע בדיקה גנטית להוכחת האבהות הנטענת, </w:t>
      </w:r>
      <w:r w:rsidR="00605453" w:rsidRPr="0066266A">
        <w:rPr>
          <w:rFonts w:ascii="David" w:hAnsi="David" w:cs="David" w:hint="cs"/>
          <w:sz w:val="24"/>
          <w:szCs w:val="24"/>
          <w:u w:val="single"/>
          <w:rtl/>
        </w:rPr>
        <w:t>בכפוף</w:t>
      </w:r>
      <w:r w:rsidR="00605453">
        <w:rPr>
          <w:rFonts w:ascii="David" w:hAnsi="David" w:cs="David" w:hint="cs"/>
          <w:sz w:val="24"/>
          <w:szCs w:val="24"/>
          <w:rtl/>
        </w:rPr>
        <w:t xml:space="preserve"> להמצאת מסמכי הזיהוי הנדרשים לקטינים</w:t>
      </w:r>
      <w:r>
        <w:rPr>
          <w:rFonts w:ascii="David" w:hAnsi="David" w:cs="David"/>
          <w:sz w:val="24"/>
          <w:szCs w:val="24"/>
          <w:rtl/>
        </w:rPr>
        <w:t>, כגון: "</w:t>
      </w:r>
      <w:r w:rsidRPr="00506F6D">
        <w:rPr>
          <w:rFonts w:ascii="David" w:hAnsi="David" w:cs="David"/>
          <w:b/>
          <w:bCs/>
          <w:sz w:val="24"/>
          <w:szCs w:val="24"/>
          <w:rtl/>
        </w:rPr>
        <w:t>רישום של הקטינים בתעודת הזיהוי הפלסטינית של המבקשת 2 או לחילופין להמציא תמצית מרשם פלסטינית של פרטי הקטינים או תעודות לידה פלסטינית של הקטינים</w:t>
      </w:r>
      <w:r>
        <w:rPr>
          <w:rFonts w:ascii="David" w:hAnsi="David" w:cs="David"/>
          <w:sz w:val="24"/>
          <w:szCs w:val="24"/>
          <w:rtl/>
        </w:rPr>
        <w:t xml:space="preserve">". </w:t>
      </w:r>
    </w:p>
    <w:p w:rsidR="00605453" w:rsidRPr="00605453" w:rsidRDefault="00605453" w:rsidP="00605453">
      <w:pPr>
        <w:pStyle w:val="ad"/>
        <w:rPr>
          <w:rFonts w:ascii="David" w:hAnsi="David" w:cs="David"/>
          <w:sz w:val="24"/>
          <w:szCs w:val="24"/>
          <w:rtl/>
        </w:rPr>
      </w:pPr>
    </w:p>
    <w:p w:rsidR="007E76AF" w:rsidRDefault="00506F6D" w:rsidP="00605453">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hint="cs"/>
          <w:sz w:val="24"/>
          <w:szCs w:val="24"/>
          <w:rtl/>
        </w:rPr>
        <w:t>על יסוד האמור</w:t>
      </w:r>
      <w:r w:rsidR="0066266A">
        <w:rPr>
          <w:rFonts w:ascii="David" w:hAnsi="David" w:cs="David" w:hint="cs"/>
          <w:sz w:val="24"/>
          <w:szCs w:val="24"/>
          <w:rtl/>
        </w:rPr>
        <w:t xml:space="preserve"> ובטרם ניתן צו לעריכת בדיקה גנטית</w:t>
      </w:r>
      <w:r w:rsidR="007E76AF">
        <w:rPr>
          <w:rFonts w:ascii="David" w:hAnsi="David" w:cs="David"/>
          <w:sz w:val="24"/>
          <w:szCs w:val="24"/>
          <w:rtl/>
        </w:rPr>
        <w:t xml:space="preserve">, הוריתי </w:t>
      </w:r>
      <w:r w:rsidR="00186D51">
        <w:rPr>
          <w:rFonts w:ascii="David" w:hAnsi="David" w:cs="David" w:hint="cs"/>
          <w:sz w:val="24"/>
          <w:szCs w:val="24"/>
          <w:rtl/>
        </w:rPr>
        <w:t>למבקשים</w:t>
      </w:r>
      <w:r>
        <w:rPr>
          <w:rFonts w:ascii="David" w:hAnsi="David" w:cs="David" w:hint="cs"/>
          <w:sz w:val="24"/>
          <w:szCs w:val="24"/>
          <w:rtl/>
        </w:rPr>
        <w:t>,</w:t>
      </w:r>
      <w:r w:rsidR="007E76AF">
        <w:rPr>
          <w:rFonts w:ascii="David" w:hAnsi="David" w:cs="David"/>
          <w:sz w:val="24"/>
          <w:szCs w:val="24"/>
          <w:rtl/>
        </w:rPr>
        <w:t xml:space="preserve"> בהחלטתי מיום 27.11.2024, להמציא המסמכים הדרושים כמפורט לעיל. </w:t>
      </w:r>
    </w:p>
    <w:p w:rsidR="00186D51" w:rsidRPr="00186D51" w:rsidRDefault="00186D51" w:rsidP="008C5017">
      <w:pPr>
        <w:pStyle w:val="ad"/>
        <w:ind w:left="567" w:hanging="567"/>
        <w:rPr>
          <w:rFonts w:ascii="David" w:hAnsi="David" w:cs="David"/>
          <w:sz w:val="24"/>
          <w:szCs w:val="24"/>
          <w:rtl/>
        </w:rPr>
      </w:pPr>
    </w:p>
    <w:p w:rsidR="007E76AF" w:rsidRDefault="008C2128" w:rsidP="008C2128">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ביום 12.12.2024</w:t>
      </w:r>
      <w:r w:rsidR="00186D51">
        <w:rPr>
          <w:rFonts w:ascii="David" w:hAnsi="David" w:cs="David"/>
          <w:sz w:val="24"/>
          <w:szCs w:val="24"/>
          <w:rtl/>
        </w:rPr>
        <w:t xml:space="preserve"> הוגשה </w:t>
      </w:r>
      <w:r w:rsidR="007E76AF">
        <w:rPr>
          <w:rFonts w:ascii="David" w:hAnsi="David" w:cs="David"/>
          <w:sz w:val="24"/>
          <w:szCs w:val="24"/>
          <w:rtl/>
        </w:rPr>
        <w:t xml:space="preserve">מטעם </w:t>
      </w:r>
      <w:r w:rsidR="00186D51">
        <w:rPr>
          <w:rFonts w:ascii="David" w:hAnsi="David" w:cs="David" w:hint="cs"/>
          <w:sz w:val="24"/>
          <w:szCs w:val="24"/>
          <w:rtl/>
        </w:rPr>
        <w:t>המבקשים</w:t>
      </w:r>
      <w:r w:rsidR="007E76AF">
        <w:rPr>
          <w:rFonts w:ascii="David" w:hAnsi="David" w:cs="David"/>
          <w:sz w:val="24"/>
          <w:szCs w:val="24"/>
          <w:rtl/>
        </w:rPr>
        <w:t xml:space="preserve"> "תגובה להחלטה" מיום 27.11.2024, במסגרתה </w:t>
      </w:r>
      <w:r>
        <w:rPr>
          <w:rFonts w:ascii="David" w:hAnsi="David" w:cs="David" w:hint="cs"/>
          <w:sz w:val="24"/>
          <w:szCs w:val="24"/>
          <w:rtl/>
        </w:rPr>
        <w:t>עתרו</w:t>
      </w:r>
      <w:r w:rsidR="007E76AF">
        <w:rPr>
          <w:rFonts w:ascii="David" w:hAnsi="David" w:cs="David"/>
          <w:sz w:val="24"/>
          <w:szCs w:val="24"/>
          <w:rtl/>
        </w:rPr>
        <w:t xml:space="preserve"> לדחיית בקשת ב"כ היועמ"ש להשלמת מסמכי הזיהוי של הקטינים. </w:t>
      </w:r>
      <w:r w:rsidR="00186D51">
        <w:rPr>
          <w:rFonts w:ascii="David" w:hAnsi="David" w:cs="David" w:hint="cs"/>
          <w:sz w:val="24"/>
          <w:szCs w:val="24"/>
          <w:rtl/>
        </w:rPr>
        <w:t>המבקשים</w:t>
      </w:r>
      <w:r w:rsidR="007E76AF">
        <w:rPr>
          <w:rFonts w:ascii="David" w:hAnsi="David" w:cs="David"/>
          <w:sz w:val="24"/>
          <w:szCs w:val="24"/>
          <w:rtl/>
        </w:rPr>
        <w:t xml:space="preserve"> טוענים, כי </w:t>
      </w:r>
      <w:r w:rsidR="00186D51">
        <w:rPr>
          <w:rFonts w:ascii="David" w:hAnsi="David" w:cs="David" w:hint="cs"/>
          <w:sz w:val="24"/>
          <w:szCs w:val="24"/>
          <w:rtl/>
        </w:rPr>
        <w:t>המבקש</w:t>
      </w:r>
      <w:r>
        <w:rPr>
          <w:rFonts w:ascii="David" w:hAnsi="David" w:cs="David"/>
          <w:sz w:val="24"/>
          <w:szCs w:val="24"/>
          <w:rtl/>
        </w:rPr>
        <w:t xml:space="preserve"> 1 הוא אזרח</w:t>
      </w:r>
      <w:r w:rsidR="007E76AF">
        <w:rPr>
          <w:rFonts w:ascii="David" w:hAnsi="David" w:cs="David"/>
          <w:sz w:val="24"/>
          <w:szCs w:val="24"/>
          <w:rtl/>
        </w:rPr>
        <w:t xml:space="preserve"> ישראלי; כי הקטינים נולדו בישראל ומעולם לא חיו באזור הרשות הפלסטינית; כי אין להם כל קשר או מרכז חיים ברשות הפלסטינית והם אינם רשומים במרשמיה. כן נטען, כי </w:t>
      </w:r>
      <w:r w:rsidR="00186D51">
        <w:rPr>
          <w:rFonts w:ascii="David" w:hAnsi="David" w:cs="David" w:hint="cs"/>
          <w:sz w:val="24"/>
          <w:szCs w:val="24"/>
          <w:rtl/>
        </w:rPr>
        <w:t>המבקש</w:t>
      </w:r>
      <w:r w:rsidR="007E76AF">
        <w:rPr>
          <w:rFonts w:ascii="David" w:hAnsi="David" w:cs="David"/>
          <w:sz w:val="24"/>
          <w:szCs w:val="24"/>
          <w:rtl/>
        </w:rPr>
        <w:t xml:space="preserve"> 1 "מסרב בתוקף" לשייך את ילדיו או לקשור אותם לרשות הפלסטינית ולעבור הליך רישום ברשות הפלסטינית בעודו אזרח ישראלי, אך משום שאם הקטינים היא פלסטינית.</w:t>
      </w:r>
    </w:p>
    <w:p w:rsidR="00186D51" w:rsidRPr="00186D51" w:rsidRDefault="00186D51" w:rsidP="008C5017">
      <w:pPr>
        <w:pStyle w:val="ad"/>
        <w:ind w:left="567" w:hanging="567"/>
        <w:rPr>
          <w:rFonts w:ascii="David" w:hAnsi="David" w:cs="David"/>
          <w:sz w:val="24"/>
          <w:szCs w:val="24"/>
          <w:rtl/>
        </w:rPr>
      </w:pPr>
    </w:p>
    <w:p w:rsidR="007E76AF" w:rsidRDefault="00186D51" w:rsidP="008C5017">
      <w:pPr>
        <w:pStyle w:val="ad"/>
        <w:spacing w:before="240" w:after="240" w:line="360" w:lineRule="auto"/>
        <w:ind w:left="567"/>
        <w:jc w:val="both"/>
        <w:rPr>
          <w:rFonts w:ascii="David" w:hAnsi="David" w:cs="David"/>
          <w:sz w:val="24"/>
          <w:szCs w:val="24"/>
          <w:rtl/>
        </w:rPr>
      </w:pPr>
      <w:r>
        <w:rPr>
          <w:rFonts w:ascii="David" w:hAnsi="David" w:cs="David" w:hint="cs"/>
          <w:sz w:val="24"/>
          <w:szCs w:val="24"/>
          <w:rtl/>
        </w:rPr>
        <w:t>המבקשים</w:t>
      </w:r>
      <w:r w:rsidR="007E76AF">
        <w:rPr>
          <w:rFonts w:ascii="David" w:hAnsi="David" w:cs="David"/>
          <w:sz w:val="24"/>
          <w:szCs w:val="24"/>
          <w:rtl/>
        </w:rPr>
        <w:t xml:space="preserve"> מוס</w:t>
      </w:r>
      <w:r w:rsidR="008C2128">
        <w:rPr>
          <w:rFonts w:ascii="David" w:hAnsi="David" w:cs="David" w:hint="cs"/>
          <w:sz w:val="24"/>
          <w:szCs w:val="24"/>
          <w:rtl/>
        </w:rPr>
        <w:t>י</w:t>
      </w:r>
      <w:r w:rsidR="007E76AF">
        <w:rPr>
          <w:rFonts w:ascii="David" w:hAnsi="David" w:cs="David"/>
          <w:sz w:val="24"/>
          <w:szCs w:val="24"/>
          <w:rtl/>
        </w:rPr>
        <w:t xml:space="preserve">פים, כי דרישת ב"כ היועמ"ש אינה "מובנת" עת עד כה ניתן היה להסתפק בהודעת לידת חי וכי מדובר בניסיון "להקשות על אזרחי מדינת ישראל הערבים לרשום את ילדיהם" אשר נעשה שלא "משיקולים משפטיים". </w:t>
      </w:r>
    </w:p>
    <w:p w:rsidR="00186D51" w:rsidRDefault="00186D51" w:rsidP="008C5017">
      <w:pPr>
        <w:pStyle w:val="ad"/>
        <w:spacing w:before="240" w:after="240" w:line="360" w:lineRule="auto"/>
        <w:ind w:left="567" w:hanging="567"/>
        <w:jc w:val="both"/>
        <w:rPr>
          <w:rFonts w:ascii="David" w:hAnsi="David" w:cs="David"/>
          <w:sz w:val="24"/>
          <w:szCs w:val="24"/>
        </w:rPr>
      </w:pPr>
    </w:p>
    <w:p w:rsidR="007E76AF" w:rsidRDefault="007E76AF" w:rsidP="008C5017">
      <w:pPr>
        <w:pStyle w:val="ad"/>
        <w:spacing w:before="240" w:after="240" w:line="360" w:lineRule="auto"/>
        <w:ind w:left="567"/>
        <w:jc w:val="both"/>
        <w:rPr>
          <w:rFonts w:ascii="David" w:hAnsi="David" w:cs="David"/>
          <w:sz w:val="24"/>
          <w:szCs w:val="24"/>
          <w:rtl/>
        </w:rPr>
      </w:pPr>
      <w:r>
        <w:rPr>
          <w:rFonts w:ascii="David" w:hAnsi="David" w:cs="David"/>
          <w:sz w:val="24"/>
          <w:szCs w:val="24"/>
          <w:rtl/>
        </w:rPr>
        <w:t xml:space="preserve">כן נטען, כי ממילא מדובר בבקשה בלתי אפשרית, מאחר שברשות הפלסטינית לא רושמים ילדים שנולדו בישראל ככל שאין להם מס' </w:t>
      </w:r>
      <w:r w:rsidR="00186D51">
        <w:rPr>
          <w:rFonts w:ascii="David" w:hAnsi="David" w:cs="David" w:hint="cs"/>
          <w:sz w:val="24"/>
          <w:szCs w:val="24"/>
          <w:rtl/>
        </w:rPr>
        <w:t>זיהוי</w:t>
      </w:r>
      <w:r>
        <w:rPr>
          <w:rFonts w:ascii="David" w:hAnsi="David" w:cs="David"/>
          <w:sz w:val="24"/>
          <w:szCs w:val="24"/>
          <w:rtl/>
        </w:rPr>
        <w:t xml:space="preserve"> ישראלי.</w:t>
      </w:r>
    </w:p>
    <w:p w:rsidR="00186D51" w:rsidRDefault="00186D51" w:rsidP="008C5017">
      <w:pPr>
        <w:pStyle w:val="ad"/>
        <w:spacing w:before="240" w:after="240" w:line="360" w:lineRule="auto"/>
        <w:ind w:left="567" w:hanging="567"/>
        <w:jc w:val="both"/>
        <w:rPr>
          <w:rFonts w:ascii="David" w:hAnsi="David" w:cs="David"/>
          <w:sz w:val="24"/>
          <w:szCs w:val="24"/>
          <w:rtl/>
        </w:rPr>
      </w:pPr>
    </w:p>
    <w:p w:rsidR="007E76AF" w:rsidRDefault="0066266A" w:rsidP="0066266A">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hint="cs"/>
          <w:sz w:val="24"/>
          <w:szCs w:val="24"/>
          <w:rtl/>
        </w:rPr>
        <w:t>ב</w:t>
      </w:r>
      <w:r w:rsidR="007E76AF">
        <w:rPr>
          <w:rFonts w:ascii="David" w:hAnsi="David" w:cs="David"/>
          <w:sz w:val="24"/>
          <w:szCs w:val="24"/>
          <w:rtl/>
        </w:rPr>
        <w:t xml:space="preserve">תגובת ב"כ היועמ"ש </w:t>
      </w:r>
      <w:r>
        <w:rPr>
          <w:rFonts w:ascii="David" w:hAnsi="David" w:cs="David" w:hint="cs"/>
          <w:sz w:val="24"/>
          <w:szCs w:val="24"/>
          <w:rtl/>
        </w:rPr>
        <w:t>מ</w:t>
      </w:r>
      <w:r>
        <w:rPr>
          <w:rFonts w:ascii="David" w:hAnsi="David" w:cs="David"/>
          <w:sz w:val="24"/>
          <w:szCs w:val="24"/>
          <w:rtl/>
        </w:rPr>
        <w:t>יום 19.12.2024</w:t>
      </w:r>
      <w:r>
        <w:rPr>
          <w:rFonts w:ascii="David" w:hAnsi="David" w:cs="David" w:hint="cs"/>
          <w:sz w:val="24"/>
          <w:szCs w:val="24"/>
          <w:rtl/>
        </w:rPr>
        <w:t xml:space="preserve"> </w:t>
      </w:r>
      <w:r w:rsidR="007E76AF">
        <w:rPr>
          <w:rFonts w:ascii="David" w:hAnsi="David" w:cs="David"/>
          <w:sz w:val="24"/>
          <w:szCs w:val="24"/>
          <w:rtl/>
        </w:rPr>
        <w:t xml:space="preserve">נטען, כי </w:t>
      </w:r>
      <w:r>
        <w:rPr>
          <w:rFonts w:ascii="David" w:hAnsi="David" w:cs="David" w:hint="cs"/>
          <w:sz w:val="24"/>
          <w:szCs w:val="24"/>
          <w:rtl/>
        </w:rPr>
        <w:t>הדרישה</w:t>
      </w:r>
      <w:r w:rsidR="007E76AF">
        <w:rPr>
          <w:rFonts w:ascii="David" w:hAnsi="David" w:cs="David"/>
          <w:sz w:val="24"/>
          <w:szCs w:val="24"/>
          <w:rtl/>
        </w:rPr>
        <w:t xml:space="preserve"> להמצאת מסמכי זיהוי של הקטינים כבהליך דנן, הוגשה בעשרות תיקים דומים המתנהלים בבתי משפט שונים בישראל וכי דרישה</w:t>
      </w:r>
      <w:r>
        <w:rPr>
          <w:rFonts w:ascii="David" w:hAnsi="David" w:cs="David" w:hint="cs"/>
          <w:sz w:val="24"/>
          <w:szCs w:val="24"/>
          <w:rtl/>
        </w:rPr>
        <w:t xml:space="preserve"> זו</w:t>
      </w:r>
      <w:r w:rsidR="007E76AF">
        <w:rPr>
          <w:rFonts w:ascii="David" w:hAnsi="David" w:cs="David"/>
          <w:sz w:val="24"/>
          <w:szCs w:val="24"/>
          <w:rtl/>
        </w:rPr>
        <w:t xml:space="preserve"> </w:t>
      </w:r>
      <w:r w:rsidR="008C2128">
        <w:rPr>
          <w:rFonts w:ascii="David" w:hAnsi="David" w:cs="David" w:hint="cs"/>
          <w:sz w:val="24"/>
          <w:szCs w:val="24"/>
          <w:rtl/>
        </w:rPr>
        <w:t>נסמכת ע</w:t>
      </w:r>
      <w:r w:rsidR="007E76AF">
        <w:rPr>
          <w:rFonts w:ascii="David" w:hAnsi="David" w:cs="David"/>
          <w:sz w:val="24"/>
          <w:szCs w:val="24"/>
          <w:rtl/>
        </w:rPr>
        <w:t>ל</w:t>
      </w:r>
      <w:r w:rsidR="008C2128">
        <w:rPr>
          <w:rFonts w:ascii="David" w:hAnsi="David" w:cs="David" w:hint="cs"/>
          <w:sz w:val="24"/>
          <w:szCs w:val="24"/>
          <w:rtl/>
        </w:rPr>
        <w:t xml:space="preserve"> </w:t>
      </w:r>
      <w:r w:rsidR="007E76AF">
        <w:rPr>
          <w:rFonts w:ascii="David" w:hAnsi="David" w:cs="David"/>
          <w:sz w:val="24"/>
          <w:szCs w:val="24"/>
          <w:rtl/>
        </w:rPr>
        <w:t>תקנות מידע גנטי (עריכת בדיקה גנטית לקשרי משפחה, תיעוד ושמירת תוצאותיה), תש"ע-2010 (להלן: "</w:t>
      </w:r>
      <w:r w:rsidR="007E76AF">
        <w:rPr>
          <w:rFonts w:ascii="David" w:hAnsi="David" w:cs="David"/>
          <w:b/>
          <w:bCs/>
          <w:sz w:val="24"/>
          <w:szCs w:val="24"/>
          <w:rtl/>
        </w:rPr>
        <w:t>תקנות מידע גנטי</w:t>
      </w:r>
      <w:r w:rsidR="007E76AF">
        <w:rPr>
          <w:rFonts w:ascii="David" w:hAnsi="David" w:cs="David"/>
          <w:sz w:val="24"/>
          <w:szCs w:val="24"/>
          <w:rtl/>
        </w:rPr>
        <w:t xml:space="preserve">") לפיהן קטין מתחת לגיל 16 יזוהה באמצעות דרכון או תעודת לידה. ב"כ היועמ"ש מפרטת, כי למיטב ידיעת היועמ"ש, קיים קושי גדול יותר בהנפקת דרכון פלסטיני לקטינים ולכן, היא ביקשה לקבל תעודות לידה פלסטיניות שהן החלופה הקיימת בתקנות לזיהוי הקטינים. </w:t>
      </w:r>
    </w:p>
    <w:p w:rsidR="00186D51" w:rsidRDefault="00186D51" w:rsidP="008C5017">
      <w:pPr>
        <w:pStyle w:val="ad"/>
        <w:spacing w:before="240" w:after="240" w:line="360" w:lineRule="auto"/>
        <w:ind w:left="567" w:hanging="567"/>
        <w:jc w:val="both"/>
        <w:rPr>
          <w:rFonts w:ascii="David" w:hAnsi="David" w:cs="David"/>
          <w:sz w:val="24"/>
          <w:szCs w:val="24"/>
          <w:rtl/>
        </w:rPr>
      </w:pPr>
    </w:p>
    <w:p w:rsidR="007E76AF" w:rsidRDefault="007E76AF" w:rsidP="008C5017">
      <w:pPr>
        <w:pStyle w:val="ad"/>
        <w:spacing w:before="240" w:after="240" w:line="360" w:lineRule="auto"/>
        <w:ind w:left="567"/>
        <w:jc w:val="both"/>
        <w:rPr>
          <w:rFonts w:ascii="David" w:hAnsi="David" w:cs="David"/>
          <w:sz w:val="24"/>
          <w:szCs w:val="24"/>
          <w:rtl/>
        </w:rPr>
      </w:pPr>
      <w:r>
        <w:rPr>
          <w:rFonts w:ascii="David" w:hAnsi="David" w:cs="David"/>
          <w:sz w:val="24"/>
          <w:szCs w:val="24"/>
          <w:rtl/>
        </w:rPr>
        <w:t xml:space="preserve">ב"כ היועמ"ש הדגישה, כי דרישתה אינה נובעת "מרצונה או מנוהל פנימי אלא מהוראות הדין עצמן" וכי היא מתנגדת לעריכת </w:t>
      </w:r>
      <w:r w:rsidR="00506F6D">
        <w:rPr>
          <w:rFonts w:ascii="David" w:hAnsi="David" w:cs="David" w:hint="cs"/>
          <w:sz w:val="24"/>
          <w:szCs w:val="24"/>
          <w:rtl/>
        </w:rPr>
        <w:t>בדיקה גנטית</w:t>
      </w:r>
      <w:r>
        <w:rPr>
          <w:rFonts w:ascii="David" w:hAnsi="David" w:cs="David"/>
          <w:sz w:val="24"/>
          <w:szCs w:val="24"/>
          <w:rtl/>
        </w:rPr>
        <w:t xml:space="preserve"> בהעדר מסמכים מזהים תקפים. </w:t>
      </w:r>
    </w:p>
    <w:p w:rsidR="00186D51" w:rsidRDefault="00186D51" w:rsidP="008C5017">
      <w:pPr>
        <w:pStyle w:val="ad"/>
        <w:spacing w:before="240" w:after="240" w:line="360" w:lineRule="auto"/>
        <w:ind w:left="567" w:hanging="567"/>
        <w:jc w:val="both"/>
        <w:rPr>
          <w:rFonts w:ascii="David" w:hAnsi="David" w:cs="David"/>
          <w:sz w:val="24"/>
          <w:szCs w:val="24"/>
        </w:rPr>
      </w:pPr>
    </w:p>
    <w:p w:rsidR="007E76AF" w:rsidRDefault="007E76AF" w:rsidP="0066266A">
      <w:pPr>
        <w:pStyle w:val="ad"/>
        <w:numPr>
          <w:ilvl w:val="0"/>
          <w:numId w:val="1"/>
        </w:numPr>
        <w:spacing w:before="240" w:after="240" w:line="360" w:lineRule="auto"/>
        <w:ind w:left="567" w:hanging="567"/>
        <w:jc w:val="both"/>
        <w:rPr>
          <w:rFonts w:ascii="David" w:hAnsi="David" w:cs="David"/>
          <w:b/>
          <w:bCs/>
          <w:sz w:val="24"/>
          <w:szCs w:val="24"/>
        </w:rPr>
      </w:pPr>
      <w:r>
        <w:rPr>
          <w:rFonts w:ascii="David" w:hAnsi="David" w:cs="David"/>
          <w:b/>
          <w:bCs/>
          <w:sz w:val="24"/>
          <w:szCs w:val="24"/>
          <w:rtl/>
        </w:rPr>
        <w:t>לאחר שעיינתי בבקשה (</w:t>
      </w:r>
      <w:r w:rsidR="00506F6D">
        <w:rPr>
          <w:rFonts w:ascii="David" w:hAnsi="David" w:cs="David" w:hint="cs"/>
          <w:b/>
          <w:bCs/>
          <w:sz w:val="24"/>
          <w:szCs w:val="24"/>
          <w:rtl/>
        </w:rPr>
        <w:t>על אף</w:t>
      </w:r>
      <w:r>
        <w:rPr>
          <w:rFonts w:ascii="David" w:hAnsi="David" w:cs="David"/>
          <w:b/>
          <w:bCs/>
          <w:sz w:val="24"/>
          <w:szCs w:val="24"/>
          <w:rtl/>
        </w:rPr>
        <w:t xml:space="preserve"> שהוכתרה כ"תגובה"), בתגובת ב"כ היועמ"ש ובכל אשר מונח לפני, </w:t>
      </w:r>
      <w:r w:rsidR="00506F6D">
        <w:rPr>
          <w:rFonts w:ascii="David" w:hAnsi="David" w:cs="David" w:hint="cs"/>
          <w:b/>
          <w:bCs/>
          <w:sz w:val="24"/>
          <w:szCs w:val="24"/>
          <w:rtl/>
        </w:rPr>
        <w:t>מצאתי ל</w:t>
      </w:r>
      <w:r w:rsidR="0066266A">
        <w:rPr>
          <w:rFonts w:ascii="David" w:hAnsi="David" w:cs="David" w:hint="cs"/>
          <w:b/>
          <w:bCs/>
          <w:sz w:val="24"/>
          <w:szCs w:val="24"/>
          <w:rtl/>
        </w:rPr>
        <w:t xml:space="preserve">דחות </w:t>
      </w:r>
      <w:r w:rsidR="00506F6D">
        <w:rPr>
          <w:rFonts w:ascii="David" w:hAnsi="David" w:cs="David" w:hint="cs"/>
          <w:b/>
          <w:bCs/>
          <w:sz w:val="24"/>
          <w:szCs w:val="24"/>
          <w:rtl/>
        </w:rPr>
        <w:t>הבקשה</w:t>
      </w:r>
      <w:r>
        <w:rPr>
          <w:rFonts w:ascii="David" w:hAnsi="David" w:cs="David"/>
          <w:b/>
          <w:bCs/>
          <w:sz w:val="24"/>
          <w:szCs w:val="24"/>
          <w:rtl/>
        </w:rPr>
        <w:t xml:space="preserve">, מהטעמים שיפורטו להלן. </w:t>
      </w:r>
    </w:p>
    <w:p w:rsidR="00186D51" w:rsidRDefault="00186D51" w:rsidP="008C5017">
      <w:pPr>
        <w:pStyle w:val="ad"/>
        <w:spacing w:before="240" w:after="240" w:line="360" w:lineRule="auto"/>
        <w:ind w:left="567" w:hanging="567"/>
        <w:jc w:val="both"/>
        <w:rPr>
          <w:rFonts w:ascii="David" w:hAnsi="David" w:cs="David"/>
          <w:b/>
          <w:bCs/>
          <w:sz w:val="24"/>
          <w:szCs w:val="24"/>
          <w:rtl/>
        </w:rPr>
      </w:pPr>
    </w:p>
    <w:p w:rsidR="007E76AF" w:rsidRDefault="007E76A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אפתח ואומר, כי הבקשה לא נתמכה בתצהיר, כמתחייב על פי תקנות בית המשפט לענייני משפחה (סדרי דין), תשפ"א- 2020, ודי</w:t>
      </w:r>
      <w:r w:rsidR="00186D51">
        <w:rPr>
          <w:rFonts w:ascii="David" w:hAnsi="David" w:cs="David" w:hint="cs"/>
          <w:sz w:val="24"/>
          <w:szCs w:val="24"/>
          <w:rtl/>
        </w:rPr>
        <w:t xml:space="preserve"> היה</w:t>
      </w:r>
      <w:r>
        <w:rPr>
          <w:rFonts w:ascii="David" w:hAnsi="David" w:cs="David"/>
          <w:sz w:val="24"/>
          <w:szCs w:val="24"/>
          <w:rtl/>
        </w:rPr>
        <w:t xml:space="preserve"> בכך כדי להורות על דחייתה</w:t>
      </w:r>
      <w:r w:rsidR="00506F6D">
        <w:rPr>
          <w:rFonts w:ascii="David" w:hAnsi="David" w:cs="David" w:hint="cs"/>
          <w:sz w:val="24"/>
          <w:szCs w:val="24"/>
          <w:rtl/>
        </w:rPr>
        <w:t xml:space="preserve"> על הסף</w:t>
      </w:r>
      <w:r>
        <w:rPr>
          <w:rFonts w:ascii="David" w:hAnsi="David" w:cs="David"/>
          <w:sz w:val="24"/>
          <w:szCs w:val="24"/>
          <w:rtl/>
        </w:rPr>
        <w:t xml:space="preserve">. </w:t>
      </w:r>
    </w:p>
    <w:p w:rsidR="00186D51" w:rsidRPr="00186D51" w:rsidRDefault="00186D51" w:rsidP="008C5017">
      <w:pPr>
        <w:pStyle w:val="ad"/>
        <w:ind w:left="567" w:hanging="567"/>
        <w:rPr>
          <w:rFonts w:ascii="David" w:hAnsi="David" w:cs="David"/>
          <w:sz w:val="24"/>
          <w:szCs w:val="24"/>
          <w:rtl/>
        </w:rPr>
      </w:pPr>
    </w:p>
    <w:p w:rsidR="00186D51" w:rsidRDefault="007E76AF" w:rsidP="00E8786B">
      <w:pPr>
        <w:pStyle w:val="ad"/>
        <w:spacing w:before="240" w:after="240" w:line="360" w:lineRule="auto"/>
        <w:ind w:left="567"/>
        <w:jc w:val="both"/>
        <w:rPr>
          <w:rFonts w:ascii="David" w:hAnsi="David" w:cs="David"/>
          <w:sz w:val="24"/>
          <w:szCs w:val="24"/>
        </w:rPr>
      </w:pPr>
      <w:r>
        <w:rPr>
          <w:rFonts w:ascii="David" w:hAnsi="David" w:cs="David"/>
          <w:sz w:val="24"/>
          <w:szCs w:val="24"/>
          <w:rtl/>
        </w:rPr>
        <w:t xml:space="preserve">לגופם של דברים – </w:t>
      </w:r>
    </w:p>
    <w:p w:rsidR="00186D51" w:rsidRPr="00186D51" w:rsidRDefault="00186D51" w:rsidP="008C5017">
      <w:pPr>
        <w:pStyle w:val="ad"/>
        <w:ind w:left="567" w:hanging="567"/>
        <w:rPr>
          <w:rFonts w:ascii="David" w:hAnsi="David" w:cs="David"/>
          <w:sz w:val="24"/>
          <w:szCs w:val="24"/>
          <w:rtl/>
        </w:rPr>
      </w:pPr>
    </w:p>
    <w:p w:rsidR="007E76AF" w:rsidRDefault="007E76A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סעיף 28א' לחוק מידע גנטי, התשס"א-2000, קובע כי לא תיערך בדיקה גנטית לקשרי משפחה, אלא לפי צו של בית המשפט לענייני משפחה.</w:t>
      </w:r>
    </w:p>
    <w:p w:rsidR="00506F6D" w:rsidRPr="00506F6D" w:rsidRDefault="00506F6D" w:rsidP="008C5017">
      <w:pPr>
        <w:pStyle w:val="ad"/>
        <w:ind w:left="567" w:hanging="567"/>
        <w:rPr>
          <w:rFonts w:ascii="David" w:hAnsi="David" w:cs="David"/>
          <w:sz w:val="24"/>
          <w:szCs w:val="24"/>
          <w:rtl/>
        </w:rPr>
      </w:pPr>
    </w:p>
    <w:p w:rsidR="007E76AF" w:rsidRDefault="00E8786B" w:rsidP="00E8786B">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אופן עריכת הבדיקה</w:t>
      </w:r>
      <w:r w:rsidR="007E76AF">
        <w:rPr>
          <w:rFonts w:ascii="David" w:hAnsi="David" w:cs="David"/>
          <w:sz w:val="24"/>
          <w:szCs w:val="24"/>
          <w:rtl/>
        </w:rPr>
        <w:t xml:space="preserve"> וההזדהות </w:t>
      </w:r>
      <w:r>
        <w:rPr>
          <w:rFonts w:ascii="David" w:hAnsi="David" w:cs="David" w:hint="cs"/>
          <w:sz w:val="24"/>
          <w:szCs w:val="24"/>
          <w:rtl/>
        </w:rPr>
        <w:t>בבדיקה</w:t>
      </w:r>
      <w:r w:rsidR="007E76AF">
        <w:rPr>
          <w:rFonts w:ascii="David" w:hAnsi="David" w:cs="David"/>
          <w:sz w:val="24"/>
          <w:szCs w:val="24"/>
          <w:rtl/>
        </w:rPr>
        <w:t xml:space="preserve">, מוסדר בתקנות מידע גנטי. עיון בתקנות 2 ו- 7(ג) לתקנות מידע גנטי וכן, בנוסח הצו המצוי בתוספת הראשונה לתקנות מידע גנטי, מלמד כי בעת עריכת בדיקה גנטית, יש </w:t>
      </w:r>
      <w:r>
        <w:rPr>
          <w:rFonts w:ascii="David" w:hAnsi="David" w:cs="David" w:hint="cs"/>
          <w:sz w:val="24"/>
          <w:szCs w:val="24"/>
          <w:rtl/>
        </w:rPr>
        <w:t xml:space="preserve">הנבדק להזדהות </w:t>
      </w:r>
      <w:r w:rsidR="007E76AF">
        <w:rPr>
          <w:rFonts w:ascii="David" w:hAnsi="David" w:cs="David"/>
          <w:sz w:val="24"/>
          <w:szCs w:val="24"/>
          <w:rtl/>
        </w:rPr>
        <w:t>באמצעות "תעודה מזהה", שמוגדרת בתקנה 1, כדלקמן:</w:t>
      </w:r>
    </w:p>
    <w:p w:rsidR="00186D51" w:rsidRDefault="00186D51" w:rsidP="008C5017">
      <w:pPr>
        <w:pStyle w:val="ad"/>
        <w:spacing w:before="240" w:after="240" w:line="360" w:lineRule="auto"/>
        <w:ind w:left="567" w:hanging="567"/>
        <w:jc w:val="both"/>
        <w:rPr>
          <w:rFonts w:ascii="David" w:hAnsi="David" w:cs="David"/>
          <w:sz w:val="24"/>
          <w:szCs w:val="24"/>
        </w:rPr>
      </w:pPr>
    </w:p>
    <w:p w:rsidR="007E76AF" w:rsidRDefault="007E76AF" w:rsidP="00DD1B0F">
      <w:pPr>
        <w:pStyle w:val="ad"/>
        <w:spacing w:before="240" w:after="240" w:line="360" w:lineRule="auto"/>
        <w:ind w:left="1134" w:right="567"/>
        <w:jc w:val="both"/>
        <w:rPr>
          <w:rFonts w:ascii="David" w:hAnsi="David" w:cs="David"/>
          <w:sz w:val="24"/>
          <w:szCs w:val="24"/>
          <w:rtl/>
        </w:rPr>
      </w:pPr>
      <w:r>
        <w:rPr>
          <w:rFonts w:ascii="David" w:hAnsi="David" w:cs="David"/>
          <w:sz w:val="24"/>
          <w:szCs w:val="24"/>
          <w:rtl/>
        </w:rPr>
        <w:t xml:space="preserve">"לגבי אזרח או תושב ישראל – תעודת זהות, רישיון נהיגה ישראלי עם תמונה או דרכון ישראלי תקפים, ולגבי מי שאינו אזרח או תושב ישראל – דרכון תקף או תעודה מזהה עם תמונה שהונפקה על ידי רשות מוסמכת במדינה שבה הוא אזרח או תושב, </w:t>
      </w:r>
      <w:r>
        <w:rPr>
          <w:rFonts w:ascii="David" w:hAnsi="David" w:cs="David"/>
          <w:b/>
          <w:bCs/>
          <w:sz w:val="24"/>
          <w:szCs w:val="24"/>
          <w:rtl/>
        </w:rPr>
        <w:t>ולגבי מי שרשום במרשם האוכלוסין באזור – תעודת זהות שהונפקה בהתאם להסכם הביניים בין מדינת ישראל והרשות הפלשתינית, על ידי רשות מוסמכת באזור; לעניין זה, "האזור" – כל אחד מאלה: יהודה והשומרון וחבל עזה</w:t>
      </w:r>
      <w:r>
        <w:rPr>
          <w:rFonts w:ascii="David" w:hAnsi="David" w:cs="David"/>
          <w:sz w:val="24"/>
          <w:szCs w:val="24"/>
          <w:rtl/>
        </w:rPr>
        <w:t>;"</w:t>
      </w:r>
    </w:p>
    <w:p w:rsidR="00186D51" w:rsidRDefault="00186D51" w:rsidP="008C5017">
      <w:pPr>
        <w:pStyle w:val="ad"/>
        <w:spacing w:before="240" w:after="240" w:line="360" w:lineRule="auto"/>
        <w:ind w:left="567" w:right="567" w:hanging="567"/>
        <w:jc w:val="both"/>
        <w:rPr>
          <w:rFonts w:ascii="David" w:hAnsi="David" w:cs="David"/>
          <w:sz w:val="24"/>
          <w:szCs w:val="24"/>
          <w:rtl/>
        </w:rPr>
      </w:pPr>
    </w:p>
    <w:p w:rsidR="007E76AF" w:rsidRDefault="007E76A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כשמדובר בקטין, שגילו פחות משש עשרה שנים, כבענייננו, קובעת תקנה 2(ב) לתקנות מידע גנטי, כי: "</w:t>
      </w:r>
      <w:r>
        <w:rPr>
          <w:rFonts w:ascii="David" w:hAnsi="David" w:cs="David"/>
          <w:b/>
          <w:bCs/>
          <w:sz w:val="24"/>
          <w:szCs w:val="24"/>
          <w:rtl/>
        </w:rPr>
        <w:t>יורה בית המשפט על צירוף תצלום של הנבדק שאושר על ידי המעבדה בעת עריכת הבדיקה וזיהויו על ידי דרכון תקף או תעודת לידה, אם יש לו</w:t>
      </w:r>
      <w:r>
        <w:rPr>
          <w:rFonts w:ascii="David" w:hAnsi="David" w:cs="David"/>
          <w:sz w:val="24"/>
          <w:szCs w:val="24"/>
          <w:rtl/>
        </w:rPr>
        <w:t>..."</w:t>
      </w:r>
    </w:p>
    <w:p w:rsidR="00186D51" w:rsidRDefault="00186D51" w:rsidP="008C5017">
      <w:pPr>
        <w:pStyle w:val="ad"/>
        <w:spacing w:before="240" w:after="240" w:line="360" w:lineRule="auto"/>
        <w:ind w:left="567" w:hanging="567"/>
        <w:jc w:val="both"/>
        <w:rPr>
          <w:rFonts w:ascii="David" w:hAnsi="David" w:cs="David"/>
          <w:sz w:val="24"/>
          <w:szCs w:val="24"/>
        </w:rPr>
      </w:pPr>
    </w:p>
    <w:p w:rsidR="007E76AF" w:rsidRDefault="008C5017"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hint="cs"/>
          <w:sz w:val="24"/>
          <w:szCs w:val="24"/>
          <w:rtl/>
        </w:rPr>
        <w:t>ייאמר מיד</w:t>
      </w:r>
      <w:r w:rsidR="007E76AF">
        <w:rPr>
          <w:rFonts w:ascii="David" w:hAnsi="David" w:cs="David"/>
          <w:sz w:val="24"/>
          <w:szCs w:val="24"/>
          <w:rtl/>
        </w:rPr>
        <w:t xml:space="preserve">, כי אמנם בתקנה 143(א)(1) לתקנות בית המשפט לענייני משפחה (סדרי דין), תשפ"א-2020, נקבע כי יש לצרף לכתב תובענה לאבהות "הודעת לידת חי של הילד, אם הוא נולד בישראל ולא נרשם במרשם האוכלוסין" ואולם, אין בצירוף הודעת לידת חי, כדי לאיין </w:t>
      </w:r>
      <w:r w:rsidR="007E76AF">
        <w:rPr>
          <w:rFonts w:ascii="David" w:hAnsi="David" w:cs="David"/>
          <w:sz w:val="24"/>
          <w:szCs w:val="24"/>
          <w:rtl/>
        </w:rPr>
        <w:lastRenderedPageBreak/>
        <w:t xml:space="preserve">את הצורך בהגשת מסמכי זיהוי כדין, בהתאם לתקנות מידע גנטי, לצורך עריכת בדיקה גנטית. </w:t>
      </w:r>
      <w:r w:rsidR="007E76AF">
        <w:rPr>
          <w:rFonts w:ascii="David" w:hAnsi="David" w:cs="David"/>
          <w:b/>
          <w:bCs/>
          <w:sz w:val="24"/>
          <w:szCs w:val="24"/>
          <w:rtl/>
        </w:rPr>
        <w:t>ודוק. הודעת לידת חי אינה מהווה מסמך מזהה לצורך ביצוע בדיקה גנטית בהתאם לתקנות מידע גנטי.</w:t>
      </w:r>
      <w:r w:rsidR="007E76AF">
        <w:rPr>
          <w:rFonts w:ascii="David" w:hAnsi="David" w:cs="David"/>
          <w:sz w:val="24"/>
          <w:szCs w:val="24"/>
          <w:rtl/>
        </w:rPr>
        <w:t xml:space="preserve"> </w:t>
      </w:r>
    </w:p>
    <w:p w:rsidR="00186D51" w:rsidRPr="00186D51" w:rsidRDefault="00186D51" w:rsidP="008C5017">
      <w:pPr>
        <w:pStyle w:val="ad"/>
        <w:ind w:left="567" w:hanging="567"/>
        <w:rPr>
          <w:rFonts w:ascii="David" w:hAnsi="David" w:cs="David"/>
          <w:sz w:val="24"/>
          <w:szCs w:val="24"/>
          <w:rtl/>
        </w:rPr>
      </w:pPr>
    </w:p>
    <w:p w:rsidR="0061445A" w:rsidRDefault="007E76AF" w:rsidP="0061445A">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בהתאם לתקנה 2(ג) לתקנות מידע גנטי, ככל ש"</w:t>
      </w:r>
      <w:r>
        <w:rPr>
          <w:rFonts w:ascii="David" w:hAnsi="David" w:cs="David"/>
          <w:b/>
          <w:bCs/>
          <w:sz w:val="24"/>
          <w:szCs w:val="24"/>
          <w:rtl/>
        </w:rPr>
        <w:t>לא הייתה לנבדק אפשרות סבירה להשיג תעודה מזהה, או לחדש את תוקפה, רשאי בית המשפט לקבוע כל הוראה שיראה לנכון לעניין אופן זיהוי הנבדק</w:t>
      </w:r>
      <w:r>
        <w:rPr>
          <w:rFonts w:ascii="David" w:hAnsi="David" w:cs="David"/>
          <w:sz w:val="24"/>
          <w:szCs w:val="24"/>
          <w:rtl/>
        </w:rPr>
        <w:t xml:space="preserve">". </w:t>
      </w:r>
    </w:p>
    <w:p w:rsidR="0061445A" w:rsidRPr="0061445A" w:rsidRDefault="0061445A" w:rsidP="0061445A">
      <w:pPr>
        <w:pStyle w:val="ad"/>
        <w:rPr>
          <w:rFonts w:ascii="David" w:hAnsi="David" w:cs="David"/>
          <w:sz w:val="24"/>
          <w:szCs w:val="24"/>
          <w:rtl/>
        </w:rPr>
      </w:pPr>
    </w:p>
    <w:p w:rsidR="007E76AF" w:rsidRDefault="0061445A" w:rsidP="0061445A">
      <w:pPr>
        <w:pStyle w:val="ad"/>
        <w:spacing w:before="240" w:after="240" w:line="360" w:lineRule="auto"/>
        <w:ind w:left="567"/>
        <w:jc w:val="both"/>
        <w:rPr>
          <w:rFonts w:ascii="David" w:hAnsi="David" w:cs="David"/>
          <w:sz w:val="24"/>
          <w:szCs w:val="24"/>
        </w:rPr>
      </w:pPr>
      <w:r>
        <w:rPr>
          <w:rFonts w:ascii="David" w:hAnsi="David" w:cs="David" w:hint="cs"/>
          <w:sz w:val="24"/>
          <w:szCs w:val="24"/>
          <w:rtl/>
        </w:rPr>
        <w:t>בנדוננו</w:t>
      </w:r>
      <w:r w:rsidR="007E76AF">
        <w:rPr>
          <w:rFonts w:ascii="David" w:hAnsi="David" w:cs="David"/>
          <w:sz w:val="24"/>
          <w:szCs w:val="24"/>
          <w:rtl/>
        </w:rPr>
        <w:t xml:space="preserve">, לא נטען בבקשה כי התובעים </w:t>
      </w:r>
      <w:r w:rsidR="008C5017">
        <w:rPr>
          <w:rFonts w:ascii="David" w:hAnsi="David" w:cs="David" w:hint="cs"/>
          <w:sz w:val="24"/>
          <w:szCs w:val="24"/>
          <w:rtl/>
        </w:rPr>
        <w:t>פעלו</w:t>
      </w:r>
      <w:r w:rsidR="007E76AF">
        <w:rPr>
          <w:rFonts w:ascii="David" w:hAnsi="David" w:cs="David"/>
          <w:sz w:val="24"/>
          <w:szCs w:val="24"/>
          <w:rtl/>
        </w:rPr>
        <w:t xml:space="preserve"> להוצאת מסמכי זיהוי של הקטינים כפי הנדרש וממילא לא נטען ולא הוכח ולו בראשית ראיה, כי אין בידם "אפשרות סבירה" לעשות כן, </w:t>
      </w:r>
      <w:r w:rsidR="00E8786B">
        <w:rPr>
          <w:rFonts w:ascii="David" w:hAnsi="David" w:cs="David" w:hint="cs"/>
          <w:sz w:val="24"/>
          <w:szCs w:val="24"/>
          <w:rtl/>
        </w:rPr>
        <w:t>זולת טענה</w:t>
      </w:r>
      <w:r w:rsidR="005A6A2D">
        <w:rPr>
          <w:rFonts w:ascii="David" w:hAnsi="David" w:cs="David" w:hint="cs"/>
          <w:sz w:val="24"/>
          <w:szCs w:val="24"/>
          <w:rtl/>
        </w:rPr>
        <w:t xml:space="preserve"> </w:t>
      </w:r>
      <w:r>
        <w:rPr>
          <w:rFonts w:ascii="David" w:hAnsi="David" w:cs="David" w:hint="cs"/>
          <w:sz w:val="24"/>
          <w:szCs w:val="24"/>
          <w:rtl/>
        </w:rPr>
        <w:t>שנטענה בעלמא, באופן סתמי ולקוני,</w:t>
      </w:r>
      <w:r w:rsidR="005A6A2D">
        <w:rPr>
          <w:rFonts w:ascii="David" w:hAnsi="David" w:cs="David" w:hint="cs"/>
          <w:sz w:val="24"/>
          <w:szCs w:val="24"/>
          <w:rtl/>
        </w:rPr>
        <w:t xml:space="preserve"> כי מ</w:t>
      </w:r>
      <w:r w:rsidR="007E76AF">
        <w:rPr>
          <w:rFonts w:ascii="David" w:hAnsi="David" w:cs="David"/>
          <w:sz w:val="24"/>
          <w:szCs w:val="24"/>
          <w:rtl/>
        </w:rPr>
        <w:t>דובר בבקשה "בלתי אפשרית" כי ברשות הפלסטינית לא יפעלו לרישום הקטינים בנסיבות בהן אין לקטינים מס' זהות ישראלי</w:t>
      </w:r>
      <w:r w:rsidR="005A6A2D">
        <w:rPr>
          <w:rFonts w:ascii="David" w:hAnsi="David" w:cs="David" w:hint="cs"/>
          <w:sz w:val="24"/>
          <w:szCs w:val="24"/>
          <w:rtl/>
        </w:rPr>
        <w:t xml:space="preserve"> (ר' סעיף 5 לבקשה)</w:t>
      </w:r>
      <w:r w:rsidR="007E76AF">
        <w:rPr>
          <w:rFonts w:ascii="David" w:hAnsi="David" w:cs="David"/>
          <w:sz w:val="24"/>
          <w:szCs w:val="24"/>
          <w:rtl/>
        </w:rPr>
        <w:t xml:space="preserve">. </w:t>
      </w:r>
    </w:p>
    <w:p w:rsidR="00186D51" w:rsidRPr="00186D51" w:rsidRDefault="00186D51" w:rsidP="008C5017">
      <w:pPr>
        <w:pStyle w:val="ad"/>
        <w:ind w:left="567" w:hanging="567"/>
        <w:rPr>
          <w:rFonts w:ascii="David" w:hAnsi="David" w:cs="David"/>
          <w:sz w:val="24"/>
          <w:szCs w:val="24"/>
          <w:rtl/>
        </w:rPr>
      </w:pPr>
    </w:p>
    <w:p w:rsidR="007E76AF" w:rsidRDefault="007E76AF" w:rsidP="0061445A">
      <w:pPr>
        <w:pStyle w:val="ad"/>
        <w:spacing w:before="240" w:after="240" w:line="360" w:lineRule="auto"/>
        <w:ind w:left="567"/>
        <w:jc w:val="both"/>
        <w:rPr>
          <w:rFonts w:ascii="David" w:hAnsi="David" w:cs="David"/>
          <w:sz w:val="24"/>
          <w:szCs w:val="24"/>
          <w:rtl/>
        </w:rPr>
      </w:pPr>
      <w:r>
        <w:rPr>
          <w:rFonts w:ascii="David" w:hAnsi="David" w:cs="David"/>
          <w:sz w:val="24"/>
          <w:szCs w:val="24"/>
          <w:rtl/>
        </w:rPr>
        <w:t xml:space="preserve">סירובו של </w:t>
      </w:r>
      <w:r w:rsidR="0061445A">
        <w:rPr>
          <w:rFonts w:ascii="David" w:hAnsi="David" w:cs="David" w:hint="cs"/>
          <w:sz w:val="24"/>
          <w:szCs w:val="24"/>
          <w:rtl/>
        </w:rPr>
        <w:t>המבקש</w:t>
      </w:r>
      <w:r>
        <w:rPr>
          <w:rFonts w:ascii="David" w:hAnsi="David" w:cs="David"/>
          <w:sz w:val="24"/>
          <w:szCs w:val="24"/>
          <w:rtl/>
        </w:rPr>
        <w:t xml:space="preserve"> "לשייך את ילדיו או לקשור אותם לרשות הפלסטינית" (ר' סעיף 2 לבקשה), אינו מהווה בעינ</w:t>
      </w:r>
      <w:r w:rsidR="005A6A2D">
        <w:rPr>
          <w:rFonts w:ascii="David" w:hAnsi="David" w:cs="David" w:hint="cs"/>
          <w:sz w:val="24"/>
          <w:szCs w:val="24"/>
          <w:rtl/>
        </w:rPr>
        <w:t>י</w:t>
      </w:r>
      <w:r>
        <w:rPr>
          <w:rFonts w:ascii="David" w:hAnsi="David" w:cs="David"/>
          <w:sz w:val="24"/>
          <w:szCs w:val="24"/>
          <w:rtl/>
        </w:rPr>
        <w:t>י משום היעדר "</w:t>
      </w:r>
      <w:r w:rsidRPr="005A6A2D">
        <w:rPr>
          <w:rFonts w:ascii="David" w:hAnsi="David" w:cs="David"/>
          <w:b/>
          <w:bCs/>
          <w:sz w:val="24"/>
          <w:szCs w:val="24"/>
          <w:rtl/>
        </w:rPr>
        <w:t>אפשרות סבירה</w:t>
      </w:r>
      <w:r>
        <w:rPr>
          <w:rFonts w:ascii="David" w:hAnsi="David" w:cs="David"/>
          <w:sz w:val="24"/>
          <w:szCs w:val="24"/>
          <w:rtl/>
        </w:rPr>
        <w:t xml:space="preserve">" כלשון תקנה 2(ג), להשיג את אמצעי הזיהוי המבוקש, באופן שיצדיק כי בית המשפט יורה על אמצעי זיהוי שונה לבדיקת הקטינים. </w:t>
      </w:r>
    </w:p>
    <w:p w:rsidR="00186D51" w:rsidRDefault="00186D51" w:rsidP="008C5017">
      <w:pPr>
        <w:pStyle w:val="ad"/>
        <w:spacing w:before="240" w:after="240" w:line="360" w:lineRule="auto"/>
        <w:ind w:left="567" w:hanging="567"/>
        <w:jc w:val="both"/>
        <w:rPr>
          <w:rFonts w:ascii="David" w:hAnsi="David" w:cs="David"/>
          <w:sz w:val="24"/>
          <w:szCs w:val="24"/>
          <w:rtl/>
        </w:rPr>
      </w:pPr>
    </w:p>
    <w:p w:rsidR="007E76AF" w:rsidRDefault="005A6A2D"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hint="cs"/>
          <w:sz w:val="24"/>
          <w:szCs w:val="24"/>
          <w:rtl/>
        </w:rPr>
        <w:t>קולעים</w:t>
      </w:r>
      <w:r w:rsidR="007E76AF">
        <w:rPr>
          <w:rFonts w:ascii="David" w:hAnsi="David" w:cs="David"/>
          <w:sz w:val="24"/>
          <w:szCs w:val="24"/>
          <w:rtl/>
        </w:rPr>
        <w:t xml:space="preserve"> לענייננו הדברים שנאמרו על ידי כב' השופט שאול שוחט ברמ"ש (מחוזי תל אביב-יפו) 4087-04-17 א.ו. (קטין) </w:t>
      </w:r>
      <w:r w:rsidR="007E76AF" w:rsidRPr="005A6A2D">
        <w:rPr>
          <w:rFonts w:ascii="David" w:hAnsi="David" w:cs="David"/>
          <w:b/>
          <w:bCs/>
          <w:sz w:val="24"/>
          <w:szCs w:val="24"/>
          <w:rtl/>
        </w:rPr>
        <w:t>אימו נ' ר.א</w:t>
      </w:r>
      <w:r w:rsidR="007E76AF">
        <w:rPr>
          <w:rFonts w:ascii="David" w:hAnsi="David" w:cs="David"/>
          <w:sz w:val="24"/>
          <w:szCs w:val="24"/>
          <w:rtl/>
        </w:rPr>
        <w:t xml:space="preserve"> (נבו 15.11.2017), אליו הפנתה ב"כ היועמ"ש בתגובתה:</w:t>
      </w:r>
    </w:p>
    <w:p w:rsidR="00186D51" w:rsidRDefault="00186D51" w:rsidP="008C5017">
      <w:pPr>
        <w:pStyle w:val="ad"/>
        <w:spacing w:before="240" w:after="240" w:line="360" w:lineRule="auto"/>
        <w:ind w:left="567" w:hanging="567"/>
        <w:jc w:val="both"/>
        <w:rPr>
          <w:rFonts w:ascii="David" w:hAnsi="David" w:cs="David"/>
          <w:sz w:val="24"/>
          <w:szCs w:val="24"/>
        </w:rPr>
      </w:pPr>
    </w:p>
    <w:p w:rsidR="007E76AF" w:rsidRDefault="007E76AF" w:rsidP="00DD1B0F">
      <w:pPr>
        <w:pStyle w:val="ad"/>
        <w:spacing w:before="240" w:after="240" w:line="360" w:lineRule="auto"/>
        <w:ind w:left="1134" w:right="567"/>
        <w:jc w:val="both"/>
        <w:rPr>
          <w:rFonts w:ascii="David" w:hAnsi="David" w:cs="David"/>
          <w:sz w:val="24"/>
          <w:szCs w:val="24"/>
        </w:rPr>
      </w:pPr>
      <w:r>
        <w:rPr>
          <w:rFonts w:ascii="David" w:hAnsi="David" w:cs="David"/>
          <w:sz w:val="24"/>
          <w:szCs w:val="24"/>
          <w:rtl/>
        </w:rPr>
        <w:t xml:space="preserve">"מן המקובץ עולה, כי דרישת המשיבה לפיה הקטין, שאינו אוחז בתעודת לידה (אלא בהודעת לידת חי שהונפקה בביה"ח שהיא ללא תצלום), יזוהה בעת הבדיקה באמצעות דרכון תקף (שבו קיים תצלום) – עולה בקנה אחד עם הוראות מחוקק המשנה. הדרישה לזיהוי </w:t>
      </w:r>
      <w:r>
        <w:rPr>
          <w:rFonts w:ascii="David" w:hAnsi="David" w:cs="David"/>
          <w:sz w:val="24"/>
          <w:szCs w:val="24"/>
          <w:rtl/>
        </w:rPr>
        <w:lastRenderedPageBreak/>
        <w:t xml:space="preserve">באמצעות דרכון, ומכאן גם להנפקת דרכון אם אין בנמצא, לצורך ביצוע בדיקה גנטית (זאת בהעדר תעודת לידה), מקורה בתקנות ולא ב"נוהל" כזה או אחר של רשות האוכלוסין, שלטענת המבקשת אינו מחייב את ביהמ"ש (סעיף 19 לתשובה). אותן תקנות מקנות, כאמור, בידי בית המשפט את שיקול הדעת לסטות מהכלל וליתן כל הוראה אחרת שיראה לנכון לעניין אופי זיהוי הנבדק </w:t>
      </w:r>
      <w:r>
        <w:rPr>
          <w:rFonts w:ascii="David" w:hAnsi="David" w:cs="David"/>
          <w:sz w:val="24"/>
          <w:szCs w:val="24"/>
          <w:u w:val="single"/>
          <w:rtl/>
        </w:rPr>
        <w:t>אך זאת בנסיבות שהוכח לפניו, כי "</w:t>
      </w:r>
      <w:r>
        <w:rPr>
          <w:rFonts w:ascii="David" w:hAnsi="David" w:cs="David"/>
          <w:b/>
          <w:bCs/>
          <w:sz w:val="24"/>
          <w:szCs w:val="24"/>
          <w:u w:val="single"/>
          <w:rtl/>
        </w:rPr>
        <w:t>לא היתה לנבדק אפשרות סבירה להשיג תעודה מזהה</w:t>
      </w:r>
      <w:r>
        <w:rPr>
          <w:rFonts w:ascii="David" w:hAnsi="David" w:cs="David"/>
          <w:sz w:val="24"/>
          <w:szCs w:val="24"/>
          <w:rtl/>
        </w:rPr>
        <w:t>".</w:t>
      </w:r>
    </w:p>
    <w:p w:rsidR="007E76AF" w:rsidRDefault="007E76AF" w:rsidP="00DD1B0F">
      <w:pPr>
        <w:pStyle w:val="ad"/>
        <w:spacing w:before="240" w:after="240" w:line="360" w:lineRule="auto"/>
        <w:ind w:left="1134" w:right="567"/>
        <w:jc w:val="both"/>
        <w:rPr>
          <w:rFonts w:ascii="David" w:hAnsi="David" w:cs="David"/>
          <w:sz w:val="24"/>
          <w:szCs w:val="24"/>
          <w:rtl/>
        </w:rPr>
      </w:pPr>
    </w:p>
    <w:p w:rsidR="007E76AF" w:rsidRDefault="007E76AF" w:rsidP="00DD1B0F">
      <w:pPr>
        <w:pStyle w:val="ad"/>
        <w:spacing w:before="240" w:after="240" w:line="360" w:lineRule="auto"/>
        <w:ind w:left="1134" w:right="567"/>
        <w:jc w:val="both"/>
        <w:rPr>
          <w:rFonts w:ascii="David" w:hAnsi="David" w:cs="David"/>
          <w:b/>
          <w:bCs/>
          <w:sz w:val="24"/>
          <w:szCs w:val="24"/>
          <w:rtl/>
        </w:rPr>
      </w:pPr>
      <w:r>
        <w:rPr>
          <w:rFonts w:ascii="David" w:hAnsi="David" w:cs="David"/>
          <w:sz w:val="24"/>
          <w:szCs w:val="24"/>
          <w:rtl/>
        </w:rPr>
        <w:t>בענייננו, המבקשת לא הציגה ראיה לכך שניסתה להנפיק לקטין דרכון או תעודה מזהה כלשהי, ולא הובאה לפני בית המשפט קמא כל ראיה ממנה ניתן ללמוד שקיימת מניעות אובייקטיבית להנפקת דרכון לקטין לשם ביצוע הבדיקה, ומכאן התרשמותו של בית המשפט קמא כי התנגדותה זו של המבקשת נובעת אך מרצון "</w:t>
      </w:r>
      <w:r>
        <w:rPr>
          <w:rFonts w:ascii="David" w:hAnsi="David" w:cs="David"/>
          <w:b/>
          <w:bCs/>
          <w:sz w:val="24"/>
          <w:szCs w:val="24"/>
          <w:rtl/>
        </w:rPr>
        <w:t>להתעמת עם החוק והתקנות, שלא לצרכי הקטין עצמו, ולהימנע מלנהוג על פי התקנות כאמור שלא לטובת הקטין</w:t>
      </w:r>
      <w:r>
        <w:rPr>
          <w:rFonts w:ascii="David" w:hAnsi="David" w:cs="David"/>
          <w:sz w:val="24"/>
          <w:szCs w:val="24"/>
          <w:rtl/>
        </w:rPr>
        <w:t>" (סעיף 5 להחלטה)."</w:t>
      </w:r>
      <w:r>
        <w:rPr>
          <w:rFonts w:ascii="David" w:hAnsi="David" w:cs="David"/>
          <w:b/>
          <w:bCs/>
          <w:sz w:val="24"/>
          <w:szCs w:val="24"/>
          <w:rtl/>
        </w:rPr>
        <w:t xml:space="preserve"> </w:t>
      </w:r>
      <w:r>
        <w:rPr>
          <w:rFonts w:ascii="David" w:hAnsi="David" w:cs="David"/>
          <w:sz w:val="24"/>
          <w:szCs w:val="24"/>
          <w:rtl/>
        </w:rPr>
        <w:t xml:space="preserve">(עמוד 4 לפסק הדין, ההדגשה במקור). </w:t>
      </w:r>
      <w:r>
        <w:rPr>
          <w:rFonts w:ascii="David" w:hAnsi="David" w:cs="David"/>
          <w:b/>
          <w:bCs/>
          <w:sz w:val="24"/>
          <w:szCs w:val="24"/>
          <w:rtl/>
        </w:rPr>
        <w:t xml:space="preserve">       </w:t>
      </w:r>
    </w:p>
    <w:p w:rsidR="007E76AF" w:rsidRDefault="007E76AF" w:rsidP="008C5017">
      <w:pPr>
        <w:pStyle w:val="ad"/>
        <w:spacing w:before="240" w:after="240" w:line="360" w:lineRule="auto"/>
        <w:ind w:left="567" w:hanging="567"/>
        <w:rPr>
          <w:rFonts w:ascii="David" w:hAnsi="David" w:cs="David"/>
          <w:sz w:val="24"/>
          <w:szCs w:val="24"/>
          <w:rtl/>
        </w:rPr>
      </w:pPr>
    </w:p>
    <w:p w:rsidR="007E76AF" w:rsidRDefault="007E76A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טרם סיום יאמר, כי כפי שצוין על ידי ב"כ היועמ"ש, גם בפני מותב זה התנהלו ועודם מתנהלים, עשרות תיקים הדומים בנסיבותיהם למקרה דנן, שם פעלו הצדדים להשגת מסמכים מזהים לקטינים מהרשות הפלסטינית, כפי שהתבקשו התובעים דכאן.</w:t>
      </w:r>
    </w:p>
    <w:p w:rsidR="00186D51" w:rsidRDefault="00186D51" w:rsidP="008C5017">
      <w:pPr>
        <w:pStyle w:val="ad"/>
        <w:spacing w:before="240" w:after="240" w:line="360" w:lineRule="auto"/>
        <w:ind w:left="567" w:hanging="567"/>
        <w:jc w:val="both"/>
        <w:rPr>
          <w:rFonts w:ascii="David" w:hAnsi="David" w:cs="David"/>
          <w:sz w:val="24"/>
          <w:szCs w:val="24"/>
          <w:rtl/>
        </w:rPr>
      </w:pPr>
    </w:p>
    <w:p w:rsidR="0061445A" w:rsidRDefault="007E76A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אשר על כן, הבקשה נדחית</w:t>
      </w:r>
      <w:r w:rsidR="0061445A">
        <w:rPr>
          <w:rFonts w:ascii="David" w:hAnsi="David" w:cs="David" w:hint="cs"/>
          <w:sz w:val="24"/>
          <w:szCs w:val="24"/>
          <w:rtl/>
        </w:rPr>
        <w:t xml:space="preserve"> בזו</w:t>
      </w:r>
      <w:r>
        <w:rPr>
          <w:rFonts w:ascii="David" w:hAnsi="David" w:cs="David"/>
          <w:sz w:val="24"/>
          <w:szCs w:val="24"/>
          <w:rtl/>
        </w:rPr>
        <w:t xml:space="preserve">. </w:t>
      </w:r>
    </w:p>
    <w:p w:rsidR="0061445A" w:rsidRPr="0061445A" w:rsidRDefault="0061445A" w:rsidP="0061445A">
      <w:pPr>
        <w:pStyle w:val="ad"/>
        <w:rPr>
          <w:rFonts w:ascii="David" w:hAnsi="David" w:cs="David"/>
          <w:sz w:val="24"/>
          <w:szCs w:val="24"/>
          <w:rtl/>
        </w:rPr>
      </w:pPr>
    </w:p>
    <w:p w:rsidR="007E76AF" w:rsidRDefault="007E76AF" w:rsidP="0061445A">
      <w:pPr>
        <w:pStyle w:val="ad"/>
        <w:spacing w:before="240" w:after="240" w:line="360" w:lineRule="auto"/>
        <w:ind w:left="567"/>
        <w:jc w:val="both"/>
        <w:rPr>
          <w:rFonts w:ascii="David" w:hAnsi="David" w:cs="David"/>
          <w:sz w:val="24"/>
          <w:szCs w:val="24"/>
        </w:rPr>
      </w:pPr>
      <w:r>
        <w:rPr>
          <w:rFonts w:ascii="David" w:hAnsi="David" w:cs="David"/>
          <w:sz w:val="24"/>
          <w:szCs w:val="24"/>
          <w:rtl/>
        </w:rPr>
        <w:lastRenderedPageBreak/>
        <w:t>התובעים יפעלו, תוך 30 ימים, להמצאת מסמכים מזהים עבור הקטינים, כגון: הצגת רישום של הקטינים בתעודת הזיהוי הפלסטינית של התובעת 2</w:t>
      </w:r>
      <w:r w:rsidR="0061445A">
        <w:rPr>
          <w:rFonts w:ascii="David" w:hAnsi="David" w:cs="David" w:hint="cs"/>
          <w:sz w:val="24"/>
          <w:szCs w:val="24"/>
          <w:rtl/>
        </w:rPr>
        <w:t xml:space="preserve"> </w:t>
      </w:r>
      <w:r>
        <w:rPr>
          <w:rFonts w:ascii="David" w:hAnsi="David" w:cs="David"/>
          <w:sz w:val="24"/>
          <w:szCs w:val="24"/>
          <w:rtl/>
        </w:rPr>
        <w:t>/ תמצית מרשם פלסטינית של פרטי הקטינים/ תעודות לידה פלסטיניות של הקטינים, כפי שהתבקש</w:t>
      </w:r>
      <w:r w:rsidR="00186D51">
        <w:rPr>
          <w:rFonts w:ascii="David" w:hAnsi="David" w:cs="David" w:hint="cs"/>
          <w:sz w:val="24"/>
          <w:szCs w:val="24"/>
          <w:rtl/>
        </w:rPr>
        <w:t>ו</w:t>
      </w:r>
      <w:r>
        <w:rPr>
          <w:rFonts w:ascii="David" w:hAnsi="David" w:cs="David"/>
          <w:sz w:val="24"/>
          <w:szCs w:val="24"/>
          <w:rtl/>
        </w:rPr>
        <w:t xml:space="preserve"> בסעיף 2 לתגובת ב"כ היועמ"ש מיום 27.11.2024. </w:t>
      </w:r>
    </w:p>
    <w:p w:rsidR="00186D51" w:rsidRPr="00186D51" w:rsidRDefault="00186D51" w:rsidP="008C5017">
      <w:pPr>
        <w:pStyle w:val="ad"/>
        <w:ind w:left="567" w:hanging="567"/>
        <w:rPr>
          <w:rFonts w:ascii="David" w:hAnsi="David" w:cs="David"/>
          <w:sz w:val="24"/>
          <w:szCs w:val="24"/>
          <w:rtl/>
        </w:rPr>
      </w:pPr>
    </w:p>
    <w:p w:rsidR="007E76AF" w:rsidRDefault="0061445A"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hint="cs"/>
          <w:sz w:val="24"/>
          <w:szCs w:val="24"/>
          <w:rtl/>
        </w:rPr>
        <w:t>בשלב זה, איני עושה צו להוצאות</w:t>
      </w:r>
      <w:r w:rsidR="007E76AF">
        <w:rPr>
          <w:rFonts w:ascii="David" w:hAnsi="David" w:cs="David"/>
          <w:sz w:val="24"/>
          <w:szCs w:val="24"/>
          <w:rtl/>
        </w:rPr>
        <w:t>.</w:t>
      </w:r>
    </w:p>
    <w:p w:rsidR="00186D51" w:rsidRPr="00186D51" w:rsidRDefault="00186D51" w:rsidP="008C5017">
      <w:pPr>
        <w:pStyle w:val="ad"/>
        <w:ind w:left="567" w:hanging="567"/>
        <w:rPr>
          <w:rFonts w:ascii="David" w:hAnsi="David" w:cs="David"/>
          <w:sz w:val="24"/>
          <w:szCs w:val="24"/>
          <w:rtl/>
        </w:rPr>
      </w:pPr>
    </w:p>
    <w:p w:rsidR="007E76AF" w:rsidRDefault="007E76AF" w:rsidP="008C5017">
      <w:pPr>
        <w:pStyle w:val="ad"/>
        <w:numPr>
          <w:ilvl w:val="0"/>
          <w:numId w:val="1"/>
        </w:numPr>
        <w:spacing w:before="240" w:after="240" w:line="360" w:lineRule="auto"/>
        <w:ind w:left="567" w:hanging="567"/>
        <w:jc w:val="both"/>
        <w:rPr>
          <w:rFonts w:ascii="David" w:hAnsi="David" w:cs="David"/>
          <w:sz w:val="24"/>
          <w:szCs w:val="24"/>
        </w:rPr>
      </w:pPr>
      <w:r>
        <w:rPr>
          <w:rFonts w:ascii="David" w:hAnsi="David" w:cs="David"/>
          <w:sz w:val="24"/>
          <w:szCs w:val="24"/>
          <w:rtl/>
        </w:rPr>
        <w:t>ת.מ בתום המועד.</w:t>
      </w:r>
    </w:p>
    <w:p w:rsidR="0061445A" w:rsidRPr="0061445A" w:rsidRDefault="0061445A" w:rsidP="0061445A">
      <w:pPr>
        <w:pStyle w:val="ad"/>
        <w:rPr>
          <w:rFonts w:ascii="David" w:hAnsi="David" w:cs="David"/>
          <w:sz w:val="24"/>
          <w:szCs w:val="24"/>
          <w:rtl/>
        </w:rPr>
      </w:pPr>
    </w:p>
    <w:p w:rsidR="0061445A" w:rsidRDefault="0061445A" w:rsidP="0061445A">
      <w:pPr>
        <w:pStyle w:val="ad"/>
        <w:spacing w:before="240" w:after="240" w:line="360" w:lineRule="auto"/>
        <w:ind w:left="567"/>
        <w:jc w:val="both"/>
        <w:rPr>
          <w:rFonts w:ascii="David" w:hAnsi="David" w:cs="David"/>
          <w:sz w:val="24"/>
          <w:szCs w:val="24"/>
        </w:rPr>
      </w:pPr>
    </w:p>
    <w:p w:rsidR="00694556" w:rsidRPr="00B15EC1" w:rsidRDefault="00186D51" w:rsidP="00B15EC1">
      <w:pPr>
        <w:spacing w:before="240" w:after="240" w:line="360" w:lineRule="auto"/>
        <w:jc w:val="both"/>
        <w:rPr>
          <w:rFonts w:ascii="David" w:hAnsi="David"/>
          <w:rtl/>
        </w:rPr>
      </w:pPr>
      <w:r>
        <w:rPr>
          <w:rFonts w:ascii="David" w:eastAsiaTheme="minorHAnsi" w:hAnsi="David" w:hint="cs"/>
          <w:noProof w:val="0"/>
          <w:rtl/>
        </w:rPr>
        <w:t xml:space="preserve">ההחלטה מותרת בפרסום, בהשמטת פרטים מזהים של הצדדים. </w:t>
      </w:r>
    </w:p>
    <w:p w:rsidR="00694556" w:rsidRDefault="00694556">
      <w:pPr>
        <w:spacing w:line="360" w:lineRule="auto"/>
        <w:jc w:val="both"/>
        <w:rPr>
          <w:rFonts w:ascii="Arial" w:hAnsi="Arial"/>
          <w:noProof w:val="0"/>
          <w:rtl/>
        </w:rPr>
      </w:pPr>
    </w:p>
    <w:p w:rsidR="00DD1B0F" w:rsidRPr="00DE1E7D" w:rsidRDefault="00DD1B0F">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ל'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דצמבר 2024</w:t>
          </w:r>
        </w:sdtContent>
      </w:sdt>
      <w:r w:rsidR="00005C8B">
        <w:rPr>
          <w:rFonts w:ascii="Arial" w:hAnsi="Arial"/>
          <w:noProof w:val="0"/>
          <w:rtl/>
        </w:rPr>
        <w:t>, בהעדר הצדדים.</w:t>
      </w:r>
    </w:p>
    <w:p w:rsidR="00C43648" w:rsidRDefault="0076099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8142864"/>
        </w:sdtPr>
        <w:sdtEndPr/>
        <w:sdtContent>
          <w:r w:rsidR="00C06970">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99D" w:rsidRDefault="0076099D">
      <w:r>
        <w:separator/>
      </w:r>
    </w:p>
  </w:endnote>
  <w:endnote w:type="continuationSeparator" w:id="0">
    <w:p w:rsidR="0076099D" w:rsidRDefault="0076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B685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B685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99D" w:rsidRDefault="0076099D">
      <w:r>
        <w:separator/>
      </w:r>
    </w:p>
  </w:footnote>
  <w:footnote w:type="continuationSeparator" w:id="0">
    <w:p w:rsidR="0076099D" w:rsidRDefault="00760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6099D" w:rsidP="00C06970">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40862-10-24</w:t>
              </w:r>
            </w:sdtContent>
          </w:sdt>
          <w:r w:rsidR="00005C8B">
            <w:rPr>
              <w:b/>
              <w:bCs/>
              <w:noProof w:val="0"/>
              <w:sz w:val="26"/>
              <w:szCs w:val="26"/>
              <w:rtl/>
            </w:rPr>
            <w:t xml:space="preserve"> </w:t>
          </w:r>
          <w:sdt>
            <w:sdtPr>
              <w:rPr>
                <w:rtl/>
              </w:rPr>
              <w:alias w:val="1172"/>
              <w:tag w:val="1172"/>
              <w:id w:val="-595170033"/>
              <w:text w:multiLine="1"/>
            </w:sdtPr>
            <w:sdtEndPr/>
            <w:sdtContent>
              <w:r w:rsidR="00C06970">
                <w:rPr>
                  <w:rFonts w:hint="cs"/>
                  <w:b/>
                  <w:bCs/>
                  <w:noProof w:val="0"/>
                  <w:sz w:val="26"/>
                  <w:szCs w:val="26"/>
                  <w:rtl/>
                </w:rPr>
                <w:t xml:space="preserve">כ' </w:t>
              </w:r>
              <w:r w:rsidR="00064651">
                <w:rPr>
                  <w:b/>
                  <w:bCs/>
                  <w:noProof w:val="0"/>
                  <w:sz w:val="26"/>
                  <w:szCs w:val="26"/>
                  <w:rtl/>
                </w:rPr>
                <w:t xml:space="preserve">ואח' נ' </w:t>
              </w:r>
              <w:r w:rsidR="007E76AF">
                <w:rPr>
                  <w:rFonts w:hint="cs"/>
                  <w:b/>
                  <w:bCs/>
                  <w:noProof w:val="0"/>
                  <w:sz w:val="26"/>
                  <w:szCs w:val="26"/>
                  <w:rtl/>
                </w:rPr>
                <w:t>היועצת</w:t>
              </w:r>
              <w:r w:rsidR="00064651">
                <w:rPr>
                  <w:b/>
                  <w:bCs/>
                  <w:noProof w:val="0"/>
                  <w:sz w:val="26"/>
                  <w:szCs w:val="26"/>
                  <w:rtl/>
                </w:rPr>
                <w:t xml:space="preserve"> המשפטי</w:t>
              </w:r>
              <w:r w:rsidR="007E76AF">
                <w:rPr>
                  <w:rFonts w:hint="cs"/>
                  <w:b/>
                  <w:bCs/>
                  <w:noProof w:val="0"/>
                  <w:sz w:val="26"/>
                  <w:szCs w:val="26"/>
                  <w:rtl/>
                </w:rPr>
                <w:t>ת</w:t>
              </w:r>
              <w:r w:rsidR="007E76AF">
                <w:rPr>
                  <w:b/>
                  <w:bCs/>
                  <w:noProof w:val="0"/>
                  <w:sz w:val="26"/>
                  <w:szCs w:val="26"/>
                  <w:rtl/>
                </w:rPr>
                <w:t xml:space="preserve"> לממשלה </w:t>
              </w:r>
            </w:sdtContent>
          </w:sdt>
        </w:p>
        <w:p w:rsidR="007D45E3" w:rsidRPr="007B7765" w:rsidRDefault="007D45E3" w:rsidP="007D45E3">
          <w:pPr>
            <w:rPr>
              <w:b/>
              <w:bCs/>
              <w:noProof w:val="0"/>
              <w:sz w:val="2"/>
              <w:szCs w:val="2"/>
              <w:rtl/>
            </w:rPr>
          </w:pPr>
        </w:p>
        <w:p w:rsidR="008D10B2" w:rsidRPr="00E1068A" w:rsidRDefault="007D45E3" w:rsidP="007E76AF">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673C8"/>
    <w:multiLevelType w:val="hybridMultilevel"/>
    <w:tmpl w:val="F7F8796E"/>
    <w:lvl w:ilvl="0" w:tplc="ED14BE2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86D51"/>
    <w:rsid w:val="00191C82"/>
    <w:rsid w:val="001C4003"/>
    <w:rsid w:val="001D4DBF"/>
    <w:rsid w:val="001E75CA"/>
    <w:rsid w:val="002265FF"/>
    <w:rsid w:val="00234943"/>
    <w:rsid w:val="00271B56"/>
    <w:rsid w:val="0028443A"/>
    <w:rsid w:val="002B685B"/>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B7A04"/>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4F5F38"/>
    <w:rsid w:val="00506F6D"/>
    <w:rsid w:val="00520898"/>
    <w:rsid w:val="00523621"/>
    <w:rsid w:val="00524986"/>
    <w:rsid w:val="005268F6"/>
    <w:rsid w:val="00534284"/>
    <w:rsid w:val="00547206"/>
    <w:rsid w:val="00547DB7"/>
    <w:rsid w:val="00590D76"/>
    <w:rsid w:val="005A6A2D"/>
    <w:rsid w:val="005F4F09"/>
    <w:rsid w:val="00605453"/>
    <w:rsid w:val="0061431B"/>
    <w:rsid w:val="0061445A"/>
    <w:rsid w:val="00622BAA"/>
    <w:rsid w:val="006306CF"/>
    <w:rsid w:val="00644E9A"/>
    <w:rsid w:val="0066266A"/>
    <w:rsid w:val="00671BD5"/>
    <w:rsid w:val="006805C1"/>
    <w:rsid w:val="00686C21"/>
    <w:rsid w:val="006931C1"/>
    <w:rsid w:val="00694556"/>
    <w:rsid w:val="006C30C5"/>
    <w:rsid w:val="006C4820"/>
    <w:rsid w:val="006D3B31"/>
    <w:rsid w:val="006E0D96"/>
    <w:rsid w:val="006E1A53"/>
    <w:rsid w:val="006F56E6"/>
    <w:rsid w:val="00704EDA"/>
    <w:rsid w:val="00721122"/>
    <w:rsid w:val="00721B3F"/>
    <w:rsid w:val="00753019"/>
    <w:rsid w:val="00754801"/>
    <w:rsid w:val="0076099D"/>
    <w:rsid w:val="00761441"/>
    <w:rsid w:val="007631F3"/>
    <w:rsid w:val="00795365"/>
    <w:rsid w:val="007A351D"/>
    <w:rsid w:val="007B7765"/>
    <w:rsid w:val="007C5BDD"/>
    <w:rsid w:val="007D45E3"/>
    <w:rsid w:val="007E6115"/>
    <w:rsid w:val="007E76AF"/>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2128"/>
    <w:rsid w:val="008C5017"/>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079AB"/>
    <w:rsid w:val="00A3392B"/>
    <w:rsid w:val="00A85E34"/>
    <w:rsid w:val="00A94B64"/>
    <w:rsid w:val="00AA3229"/>
    <w:rsid w:val="00AA7596"/>
    <w:rsid w:val="00AB5E52"/>
    <w:rsid w:val="00AC1527"/>
    <w:rsid w:val="00AC30D6"/>
    <w:rsid w:val="00AC3B02"/>
    <w:rsid w:val="00AC3B7B"/>
    <w:rsid w:val="00AC5209"/>
    <w:rsid w:val="00AD0B6C"/>
    <w:rsid w:val="00AE0E34"/>
    <w:rsid w:val="00AE729E"/>
    <w:rsid w:val="00AE7752"/>
    <w:rsid w:val="00AF7FDA"/>
    <w:rsid w:val="00B07369"/>
    <w:rsid w:val="00B15EC1"/>
    <w:rsid w:val="00B5356E"/>
    <w:rsid w:val="00B809AD"/>
    <w:rsid w:val="00B80CBD"/>
    <w:rsid w:val="00B85B04"/>
    <w:rsid w:val="00B86096"/>
    <w:rsid w:val="00B964D9"/>
    <w:rsid w:val="00BA0A7C"/>
    <w:rsid w:val="00BA517C"/>
    <w:rsid w:val="00BB3D05"/>
    <w:rsid w:val="00BB73BE"/>
    <w:rsid w:val="00BC2D89"/>
    <w:rsid w:val="00BC7F64"/>
    <w:rsid w:val="00BD6531"/>
    <w:rsid w:val="00BE05B2"/>
    <w:rsid w:val="00BF1908"/>
    <w:rsid w:val="00C06970"/>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1B0F"/>
    <w:rsid w:val="00DE1E7D"/>
    <w:rsid w:val="00DE6BF6"/>
    <w:rsid w:val="00E04E84"/>
    <w:rsid w:val="00E1068A"/>
    <w:rsid w:val="00E25884"/>
    <w:rsid w:val="00E25B55"/>
    <w:rsid w:val="00E31C2B"/>
    <w:rsid w:val="00E5426A"/>
    <w:rsid w:val="00E54642"/>
    <w:rsid w:val="00E54CD9"/>
    <w:rsid w:val="00E80CBE"/>
    <w:rsid w:val="00E8786B"/>
    <w:rsid w:val="00E962E3"/>
    <w:rsid w:val="00EB6C79"/>
    <w:rsid w:val="00EC37E9"/>
    <w:rsid w:val="00EF0378"/>
    <w:rsid w:val="00F038D8"/>
    <w:rsid w:val="00F06995"/>
    <w:rsid w:val="00F13623"/>
    <w:rsid w:val="00F44D1D"/>
    <w:rsid w:val="00F84B6D"/>
    <w:rsid w:val="00F957E8"/>
    <w:rsid w:val="00FA311A"/>
    <w:rsid w:val="00FA5FDA"/>
    <w:rsid w:val="00FB6AB3"/>
    <w:rsid w:val="00FD1419"/>
    <w:rsid w:val="00FD79E4"/>
    <w:rsid w:val="00FE2818"/>
    <w:rsid w:val="00FE2894"/>
    <w:rsid w:val="00FE4CC6"/>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E76AF"/>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02371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03ADB" w:rsidP="00503ADB">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84F07"/>
    <w:rsid w:val="000A4ACE"/>
    <w:rsid w:val="002A56A9"/>
    <w:rsid w:val="002D02C4"/>
    <w:rsid w:val="00345C9D"/>
    <w:rsid w:val="00405FEA"/>
    <w:rsid w:val="004745AE"/>
    <w:rsid w:val="0048651F"/>
    <w:rsid w:val="00503ADB"/>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0402"/>
    <w:rsid w:val="00C96C06"/>
    <w:rsid w:val="00CE5D74"/>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03AD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1167</Words>
  <Characters>5835</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2025-01-07T14:12:00Z</dcterms:created>
  <dcterms:modified xsi:type="dcterms:W3CDTF">2025-01-07T14:12:00Z</dcterms:modified>
</cp:coreProperties>
</file>